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0</w:t>
      </w:r>
      <w:r>
        <w:rPr/>
        <w:t xml:space="preserve">9 - </w:t>
      </w:r>
      <w:r>
        <w:rPr>
          <w:spacing w:val="-2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Рентгенология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3"/>
        <w:gridCol w:w="1560"/>
        <w:gridCol w:w="7237"/>
      </w:tblGrid>
      <w:tr>
        <w:trPr>
          <w:trHeight w:val="310" w:hRule="atLeast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/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r>
        <w:rPr>
          <w:rStyle w:val="Hyperlink"/>
          <w:spacing w:val="-2"/>
        </w:rPr>
        <w:t>http://e.lanbook.com/</w:t>
      </w:r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3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4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znanium.com/" TargetMode="External"/><Relationship Id="rId4" Type="http://schemas.openxmlformats.org/officeDocument/2006/relationships/hyperlink" Target="http://www.rosmedlib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1580</Words>
  <Characters>11854</Characters>
  <CharactersWithSpaces>13146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2025-04-01T16:14:54Z</dcterms:modified>
  <cp:revision>7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