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4">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6640 w 3176280"/>
                            <a:gd name="textAreaTop" fmla="*/ 0 h 1800"/>
                            <a:gd name="textAreaBottom" fmla="*/ 216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протокол №</w:t>
      </w:r>
      <w:r>
        <w:rPr>
          <w:spacing w:val="-1"/>
        </w:rPr>
        <w:t xml:space="preserve"> </w:t>
      </w:r>
      <w:r>
        <w:rPr/>
        <w:t xml:space="preserve">     от </w:t>
      </w:r>
    </w:p>
    <w:p>
      <w:pPr>
        <w:pStyle w:val="BodyText"/>
        <w:rPr/>
      </w:pPr>
      <w:r>
        <w:rPr/>
      </w:r>
    </w:p>
    <w:p>
      <w:pPr>
        <w:pStyle w:val="BodyText"/>
        <w:rPr/>
      </w:pPr>
      <w:r>
        <w:rPr/>
      </w:r>
    </w:p>
    <w:p>
      <w:pPr>
        <w:pStyle w:val="BodyText"/>
        <w:rPr/>
      </w:pPr>
      <w:r>
        <w:rPr/>
      </w:r>
    </w:p>
    <w:p>
      <w:pPr>
        <w:pStyle w:val="Heading1"/>
        <w:bidi w:val="0"/>
        <w:jc w:val="center"/>
        <w:rPr/>
      </w:pPr>
      <w:bookmarkStart w:id="0" w:name="%252525D0%252525A0%252525D0%252525B0%252"/>
      <w:bookmarkEnd w:id="0"/>
      <w:r>
        <w:rPr/>
        <w:t>Рабочая программа дисциплины</w:t>
      </w:r>
    </w:p>
    <w:p>
      <w:pPr>
        <w:pStyle w:val="BodyText"/>
        <w:jc w:val="center"/>
        <w:rPr>
          <w:lang w:val="ru-RU"/>
        </w:rPr>
      </w:pPr>
      <w:r>
        <mc:AlternateContent>
          <mc:Choice Requires="wps">
            <w:drawing>
              <wp:anchor behindDoc="1" distT="0" distB="0" distL="0" distR="0" simplePos="0" locked="0" layoutInCell="0" allowOverlap="1" relativeHeight="5">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08720 w 2808360"/>
                            <a:gd name="textAreaTop" fmla="*/ 0 h 1800"/>
                            <a:gd name="textAreaBottom" fmla="*/ 216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lang w:val="ru-RU"/>
        </w:rPr>
        <w:t>Генетика</w:t>
      </w:r>
    </w:p>
    <w:p>
      <w:pPr>
        <w:pStyle w:val="BodyText"/>
        <w:jc w:val="center"/>
        <w:rPr/>
      </w:pPr>
      <w:r>
        <w:rPr/>
      </w:r>
    </w:p>
    <w:p>
      <w:pPr>
        <w:pStyle w:val="BodyText"/>
        <w:bidi w:val="0"/>
        <w:jc w:val="center"/>
        <w:rPr/>
      </w:pPr>
      <w:r>
        <w:rPr/>
        <w:t xml:space="preserve">Уровень высшего образования </w:t>
      </w:r>
    </w:p>
    <w:p>
      <w:pPr>
        <w:pStyle w:val="BodyText"/>
        <w:bidi w:val="0"/>
        <w:jc w:val="center"/>
        <w:rPr/>
      </w:pPr>
      <w:r>
        <w:rPr/>
        <w:t>Ординатура</w:t>
      </w:r>
    </w:p>
    <w:p>
      <w:pPr>
        <w:pStyle w:val="BodyText"/>
        <w:jc w:val="center"/>
        <w:rPr/>
      </w:pPr>
      <w:r>
        <w:rPr/>
        <mc:AlternateContent>
          <mc:Choice Requires="wpg">
            <w:drawing>
              <wp:inline distT="0" distB="0" distL="0" distR="0">
                <wp:extent cx="3088005" cy="8255"/>
                <wp:effectExtent l="9525" t="0" r="0" b="3175"/>
                <wp:docPr id="3" name="Фигура3"/>
                <a:graphic xmlns:a="http://schemas.openxmlformats.org/drawingml/2006/main">
                  <a:graphicData uri="http://schemas.microsoft.com/office/word/2010/wordprocessingGroup">
                    <wpg:wgp>
                      <wpg:cNvGrpSpPr/>
                      <wpg:grpSpPr>
                        <a:xfrm>
                          <a:off x="0" y="0"/>
                          <a:ext cx="3088080" cy="8280"/>
                          <a:chOff x="0" y="0"/>
                          <a:chExt cx="3088080" cy="8280"/>
                        </a:xfrm>
                      </wpg:grpSpPr>
                      <wps:wsp>
                        <wps:cNvPr id="4" name=""/>
                        <wps:cNvSpPr/>
                        <wps:spPr>
                          <a:xfrm>
                            <a:off x="0" y="0"/>
                            <a:ext cx="3088080" cy="8280"/>
                          </a:xfrm>
                          <a:custGeom>
                            <a:avLst/>
                            <a:gdLst>
                              <a:gd name="textAreaLeft" fmla="*/ 0 w 1750680"/>
                              <a:gd name="textAreaRight" fmla="*/ 1751040 w 1750680"/>
                              <a:gd name="textAreaTop" fmla="*/ 0 h 4680"/>
                              <a:gd name="textAreaBottom" fmla="*/ 504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3" style="position:absolute;margin-left:0pt;margin-top:-0.95pt;width:243.15pt;height:0.65pt" coordorigin="0,-19" coordsize="4863,13"/>
            </w:pict>
          </mc:Fallback>
        </mc:AlternateContent>
      </w:r>
    </w:p>
    <w:p>
      <w:pPr>
        <w:pStyle w:val="BodyText"/>
        <w:jc w:val="center"/>
        <w:rPr/>
      </w:pPr>
      <w:r>
        <w:rPr/>
      </w:r>
    </w:p>
    <w:p>
      <w:pPr>
        <w:pStyle w:val="BodyText"/>
        <w:bidi w:val="0"/>
        <w:jc w:val="center"/>
        <w:rPr/>
      </w:pPr>
      <w:r>
        <w:rPr/>
        <w:t>Направление подготовки / специальность</w:t>
      </w:r>
    </w:p>
    <w:p>
      <w:pPr>
        <w:pStyle w:val="BodyText"/>
        <w:bidi w:val="0"/>
        <w:jc w:val="center"/>
        <w:rPr/>
      </w:pPr>
      <w:r>
        <mc:AlternateContent>
          <mc:Choice Requires="wps">
            <w:drawing>
              <wp:anchor behindDoc="1" distT="0" distB="0" distL="0" distR="0" simplePos="0" locked="0" layoutInCell="0" allowOverlap="1" relativeHeight="6">
                <wp:simplePos x="0" y="0"/>
                <wp:positionH relativeFrom="page">
                  <wp:posOffset>859790</wp:posOffset>
                </wp:positionH>
                <wp:positionV relativeFrom="paragraph">
                  <wp:posOffset>211455</wp:posOffset>
                </wp:positionV>
                <wp:extent cx="5602605" cy="3175"/>
                <wp:effectExtent l="0" t="3810" r="0" b="0"/>
                <wp:wrapTopAndBottom/>
                <wp:docPr id="5" name="Graphic 6"/>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6640 w 3176280"/>
                            <a:gd name="textAreaTop" fmla="*/ 0 h 1800"/>
                            <a:gd name="textAreaBottom" fmla="*/ 216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t>31.08.49 - Терапия</w:t>
      </w:r>
    </w:p>
    <w:p>
      <w:pPr>
        <w:pStyle w:val="BodyText"/>
        <w:jc w:val="center"/>
        <w:rPr/>
      </w:pPr>
      <w:r>
        <w:rPr/>
      </w:r>
    </w:p>
    <w:p>
      <w:pPr>
        <w:pStyle w:val="BodyText"/>
        <w:jc w:val="center"/>
        <w:rPr/>
      </w:pPr>
      <w:r>
        <w:rPr/>
        <w:t>Направленность образовательной программы</w:t>
      </w:r>
    </w:p>
    <w:p>
      <w:pPr>
        <w:pStyle w:val="BodyText"/>
        <w:jc w:val="center"/>
        <w:rPr/>
      </w:pPr>
      <w:r>
        <mc:AlternateContent>
          <mc:Choice Requires="wps">
            <w:drawing>
              <wp:anchor behindDoc="1" distT="0" distB="0" distL="0" distR="0" simplePos="0" locked="0" layoutInCell="0" allowOverlap="1" relativeHeight="7">
                <wp:simplePos x="0" y="0"/>
                <wp:positionH relativeFrom="page">
                  <wp:posOffset>859790</wp:posOffset>
                </wp:positionH>
                <wp:positionV relativeFrom="paragraph">
                  <wp:posOffset>211455</wp:posOffset>
                </wp:positionV>
                <wp:extent cx="5602605" cy="3175"/>
                <wp:effectExtent l="0" t="3810" r="0" b="0"/>
                <wp:wrapTopAndBottom/>
                <wp:docPr id="6" name="Graphic 7"/>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6640 w 3176280"/>
                            <a:gd name="textAreaTop" fmla="*/ 0 h 1800"/>
                            <a:gd name="textAreaBottom" fmla="*/ 216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t>Терапия</w:t>
      </w:r>
    </w:p>
    <w:p>
      <w:pPr>
        <w:pStyle w:val="BodyText"/>
        <w:jc w:val="center"/>
        <w:rPr/>
      </w:pPr>
      <w:r>
        <w:rPr/>
      </w:r>
    </w:p>
    <w:p>
      <w:pPr>
        <w:pStyle w:val="BodyText"/>
        <w:jc w:val="center"/>
        <w:rPr/>
      </w:pPr>
      <w:r>
        <w:rPr/>
        <w:t>Форма обучения</w:t>
      </w:r>
    </w:p>
    <w:p>
      <w:pPr>
        <w:pStyle w:val="BodyText"/>
        <w:jc w:val="center"/>
        <w:rPr/>
      </w:pPr>
      <w:r>
        <w:rPr/>
        <w:t xml:space="preserve"> </w:t>
      </w:r>
      <w:r>
        <w:rPr/>
        <w:t>очная</w:t>
      </w:r>
    </w:p>
    <w:p>
      <w:pPr>
        <w:pStyle w:val="BodyText"/>
        <w:jc w:val="center"/>
        <w:rPr/>
      </w:pPr>
      <w:r>
        <w:rPr/>
        <mc:AlternateContent>
          <mc:Choice Requires="wpg">
            <w:drawing>
              <wp:inline distT="0" distB="0" distL="0" distR="0">
                <wp:extent cx="3088005" cy="8255"/>
                <wp:effectExtent l="9525" t="0" r="0" b="3175"/>
                <wp:docPr id="7" name="Фигура6"/>
                <a:graphic xmlns:a="http://schemas.openxmlformats.org/drawingml/2006/main">
                  <a:graphicData uri="http://schemas.microsoft.com/office/word/2010/wordprocessingGroup">
                    <wpg:wgp>
                      <wpg:cNvGrpSpPr/>
                      <wpg:grpSpPr>
                        <a:xfrm>
                          <a:off x="0" y="0"/>
                          <a:ext cx="3088080" cy="8280"/>
                          <a:chOff x="0" y="0"/>
                          <a:chExt cx="3088080" cy="8280"/>
                        </a:xfrm>
                      </wpg:grpSpPr>
                      <wps:wsp>
                        <wps:cNvPr id="8" name=""/>
                        <wps:cNvSpPr/>
                        <wps:spPr>
                          <a:xfrm>
                            <a:off x="0" y="0"/>
                            <a:ext cx="3088080" cy="8280"/>
                          </a:xfrm>
                          <a:custGeom>
                            <a:avLst/>
                            <a:gdLst>
                              <a:gd name="textAreaLeft" fmla="*/ 0 w 1750680"/>
                              <a:gd name="textAreaRight" fmla="*/ 1751040 w 1750680"/>
                              <a:gd name="textAreaTop" fmla="*/ 0 h 4680"/>
                              <a:gd name="textAreaBottom" fmla="*/ 504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6" style="position:absolute;margin-left:0pt;margin-top:-0.95pt;width:243.15pt;height:0.65pt" coordorigin="0,-19" coordsize="4863,13"/>
            </w:pict>
          </mc:Fallback>
        </mc:AlternateContent>
      </w:r>
    </w:p>
    <w:p>
      <w:pPr>
        <w:pStyle w:val="BodyText"/>
        <w:jc w:val="center"/>
        <w:rPr/>
      </w:pPr>
      <w:r>
        <w:rPr/>
        <w:t>г. Москва</w:t>
      </w:r>
    </w:p>
    <w:p>
      <w:pPr>
        <w:pStyle w:val="BodyText"/>
        <w:spacing w:lineRule="auto" w:line="446"/>
        <w:ind w:firstLine="372" w:left="3674" w:right="4152"/>
        <w:rPr/>
      </w:pPr>
      <w:r>
        <w:rPr/>
        <w:t xml:space="preserve">              </w:t>
      </w:r>
      <w:r>
        <w:rPr/>
        <w:t>2025</w:t>
      </w:r>
      <w:r>
        <w:rPr>
          <w:spacing w:val="-12"/>
        </w:rPr>
        <w:t xml:space="preserve"> </w:t>
      </w:r>
      <w:r>
        <w:rPr/>
        <w:t>год</w:t>
      </w:r>
    </w:p>
    <w:p>
      <w:pPr>
        <w:pStyle w:val="Normal"/>
        <w:numPr>
          <w:ilvl w:val="0"/>
          <w:numId w:val="1"/>
        </w:numPr>
        <w:rPr>
          <w:rFonts w:ascii="Times New Roman" w:hAnsi="Times New Roman" w:eastAsia="Calibri" w:cs="Calibri"/>
          <w:b/>
          <w:bCs/>
          <w:color w:val="000000"/>
          <w:kern w:val="0"/>
          <w:sz w:val="20"/>
          <w:szCs w:val="22"/>
          <w:lang w:val="en-US" w:eastAsia="en-US" w:bidi="ar-SA"/>
        </w:rPr>
      </w:pPr>
      <w:r>
        <w:rPr>
          <w:rFonts w:eastAsia="Calibri" w:cs="Calibri" w:ascii="Times New Roman" w:hAnsi="Times New Roman"/>
          <w:b/>
          <w:bCs/>
          <w:color w:val="000000"/>
          <w:kern w:val="0"/>
          <w:sz w:val="20"/>
          <w:szCs w:val="22"/>
          <w:lang w:val="en-US" w:eastAsia="en-US" w:bidi="ar-SA"/>
        </w:rPr>
        <w:t>Место дисциплины в структуре ОПОП</w:t>
      </w:r>
    </w:p>
    <w:p>
      <w:pPr>
        <w:pStyle w:val="Normal"/>
        <w:rPr>
          <w:rFonts w:ascii="Times New Roman" w:hAnsi="Times New Roman" w:eastAsia="Calibri" w:cs="Calibri"/>
          <w:color w:val="000000"/>
          <w:kern w:val="0"/>
          <w:sz w:val="20"/>
          <w:szCs w:val="22"/>
          <w:lang w:val="en-US" w:eastAsia="en-US" w:bidi="ar-SA"/>
        </w:rPr>
      </w:pPr>
      <w:r>
        <w:rPr>
          <w:rFonts w:eastAsia="Calibri" w:cs="Calibri" w:ascii="Times New Roman" w:hAnsi="Times New Roman"/>
          <w:color w:val="000000"/>
          <w:kern w:val="0"/>
          <w:sz w:val="20"/>
          <w:szCs w:val="22"/>
          <w:lang w:val="en-US" w:eastAsia="en-US" w:bidi="ar-SA"/>
        </w:rPr>
        <w:t>Дисциплина Б1.В.ДВ.01.01 Медицинская генетика относится к вариативной части образовательной программы.</w:t>
      </w:r>
    </w:p>
    <w:p>
      <w:pPr>
        <w:pStyle w:val="Normal"/>
        <w:rPr>
          <w:rFonts w:ascii="Times New Roman" w:hAnsi="Times New Roman" w:eastAsia="Calibri" w:cs="Calibri"/>
          <w:b/>
          <w:bCs/>
          <w:color w:val="000000"/>
          <w:kern w:val="0"/>
          <w:sz w:val="20"/>
          <w:szCs w:val="22"/>
          <w:lang w:val="en-US" w:eastAsia="en-US" w:bidi="ar-SA"/>
        </w:rPr>
      </w:pPr>
      <w:r>
        <w:rPr>
          <w:rFonts w:eastAsia="Calibri" w:cs="Calibri" w:ascii="Times New Roman" w:hAnsi="Times New Roman"/>
          <w:b/>
          <w:bCs/>
          <w:color w:val="000000"/>
          <w:kern w:val="0"/>
          <w:sz w:val="20"/>
          <w:szCs w:val="22"/>
          <w:lang w:val="en-US" w:eastAsia="en-US" w:bidi="ar-SA"/>
        </w:rPr>
        <w:t xml:space="preserve">2.Планируемые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Style w:val="TableGrid"/>
        <w:tblW w:w="10606" w:type="dxa"/>
        <w:jc w:val="left"/>
        <w:tblInd w:w="42" w:type="dxa"/>
        <w:tblLayout w:type="fixed"/>
        <w:tblCellMar>
          <w:top w:w="13" w:type="dxa"/>
          <w:left w:w="37" w:type="dxa"/>
          <w:bottom w:w="0" w:type="dxa"/>
          <w:right w:w="106" w:type="dxa"/>
        </w:tblCellMar>
        <w:tblLook w:firstRow="1" w:noVBand="1" w:lastRow="0" w:firstColumn="1" w:lastColumn="0" w:noHBand="0" w:val="04a0"/>
      </w:tblPr>
      <w:tblGrid>
        <w:gridCol w:w="1842"/>
        <w:gridCol w:w="2408"/>
        <w:gridCol w:w="2548"/>
        <w:gridCol w:w="1848"/>
        <w:gridCol w:w="196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left="18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left="18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right="3"/>
              <w:jc w:val="both"/>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80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ind w:left="7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left="74"/>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индикатора)</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16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Результаты обучения по дисциплине</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контроля успеваемости</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 промежуточной аттестации</w:t>
            </w:r>
          </w:p>
        </w:tc>
      </w:tr>
      <w:tr>
        <w:trPr>
          <w:trHeight w:val="937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 Способен критически и системно анализировать, определять возможности и способы применения</w:t>
            </w:r>
          </w:p>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достижения в области медицины и фармации в профессиональном контексте</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УК-1.2: Определяет возможности и способы применения достижений в области медицины и фармации в  профессиональном контексте</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УК-1.1:</w:t>
            </w:r>
          </w:p>
          <w:p>
            <w:pPr>
              <w:pStyle w:val="Normal"/>
              <w:widowControl/>
              <w:suppressAutoHyphens w:val="true"/>
              <w:spacing w:lineRule="auto" w:line="290" w:before="0" w:after="378"/>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и фармации в профессиональном контексте</w:t>
            </w:r>
          </w:p>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УК-1.2:</w:t>
            </w:r>
          </w:p>
          <w:p>
            <w:pPr>
              <w:pStyle w:val="Normal"/>
              <w:widowControl/>
              <w:suppressAutoHyphens w:val="true"/>
              <w:spacing w:lineRule="auto" w:line="240" w:before="0" w:after="0"/>
              <w:ind w:right="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84"/>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 Тест</w:t>
            </w:r>
          </w:p>
        </w:tc>
      </w:tr>
      <w:tr>
        <w:trPr>
          <w:trHeight w:val="52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ОПК-4: Способен проводить</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ОПК-4.1: Проводит клиническую диагностику и</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ОПК-4.1:</w:t>
            </w:r>
          </w:p>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проведения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bl>
    <w:p>
      <w:pPr>
        <w:pStyle w:val="Normal"/>
        <w:spacing w:before="0" w:after="0"/>
        <w:ind w:left="-994" w:right="11332"/>
        <w:rPr>
          <w:rFonts w:ascii="Times New Roman" w:hAnsi="Times New Roman"/>
        </w:rPr>
      </w:pPr>
      <w:r>
        <w:rPr>
          <w:rFonts w:ascii="Times New Roman" w:hAnsi="Times New Roman"/>
        </w:rPr>
      </w:r>
    </w:p>
    <w:tbl>
      <w:tblPr>
        <w:tblStyle w:val="TableGrid"/>
        <w:tblW w:w="10606" w:type="dxa"/>
        <w:jc w:val="left"/>
        <w:tblInd w:w="42" w:type="dxa"/>
        <w:tblLayout w:type="fixed"/>
        <w:tblCellMar>
          <w:top w:w="12" w:type="dxa"/>
          <w:left w:w="37" w:type="dxa"/>
          <w:bottom w:w="0" w:type="dxa"/>
          <w:right w:w="111" w:type="dxa"/>
        </w:tblCellMar>
        <w:tblLook w:firstRow="1" w:noVBand="1" w:lastRow="0" w:firstColumn="1" w:lastColumn="0" w:noHBand="0" w:val="04a0"/>
      </w:tblPr>
      <w:tblGrid>
        <w:gridCol w:w="1842"/>
        <w:gridCol w:w="2408"/>
        <w:gridCol w:w="2548"/>
        <w:gridCol w:w="1848"/>
        <w:gridCol w:w="1960"/>
      </w:tblGrid>
      <w:tr>
        <w:trPr>
          <w:trHeight w:val="641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клиническую диагностику и обследование пациентов</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обследование пациентов ОПК-4.2: Назначает пациентам лабораторно- инструментальные исследования</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2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клинической диагностики и обследования пациентов уметь проводить клиническую диагностику и обследование пациентов владеть способами клинической диагностики и обследования пациентов</w:t>
            </w:r>
          </w:p>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ОПК-4.2:</w:t>
            </w:r>
          </w:p>
          <w:p>
            <w:pPr>
              <w:pStyle w:val="Normal"/>
              <w:widowControl/>
              <w:suppressAutoHyphens w:val="true"/>
              <w:spacing w:lineRule="auto" w:line="240" w:before="0" w:after="0"/>
              <w:ind w:right="25"/>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применяемые лабораторноинструментальные исследования уметь применять лабораторноинструментальные исследования владеть навыками применения лабораторноинструментальных исследований</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 Тест</w:t>
            </w:r>
          </w:p>
        </w:tc>
      </w:tr>
      <w:tr>
        <w:trPr>
          <w:trHeight w:val="7492"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эффективность и безопасность</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 Назначает лечение пациентам при заболеваниях и (или) состояниях ОПК-5.2: Контролирует эффективность и безопасность назначенного лечения</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90" w:before="0" w:after="0"/>
              <w:ind w:right="3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right="157"/>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right="129"/>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 Тест</w:t>
            </w:r>
          </w:p>
        </w:tc>
      </w:tr>
      <w:tr>
        <w:trPr>
          <w:trHeight w:val="730"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 Способен к оказанию медицинской</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 Проводит обследования пациентов,</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w:t>
            </w:r>
          </w:p>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и методы</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0"/>
              <w:ind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w:t>
            </w:r>
          </w:p>
        </w:tc>
      </w:tr>
      <w:tr>
        <w:trPr>
          <w:trHeight w:val="829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помощи пациентам, страдающим заболеваниями терапевтического профиля.</w:t>
            </w:r>
          </w:p>
        </w:tc>
        <w:tc>
          <w:tcPr>
            <w:tcW w:w="240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right="20"/>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45"/>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right="166"/>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65"/>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Контрольные вопросы Тест</w:t>
            </w:r>
          </w:p>
        </w:tc>
      </w:tr>
    </w:tbl>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204" w:type="dxa"/>
        <w:jc w:val="left"/>
        <w:tblInd w:w="114" w:type="dxa"/>
        <w:tblLayout w:type="fixed"/>
        <w:tblCellMar>
          <w:top w:w="13" w:type="dxa"/>
          <w:left w:w="109" w:type="dxa"/>
          <w:bottom w:w="0" w:type="dxa"/>
          <w:right w:w="115" w:type="dxa"/>
        </w:tblCellMar>
        <w:tblLook w:firstRow="1" w:noVBand="1" w:lastRow="0" w:firstColumn="1" w:lastColumn="0" w:noHBand="0" w:val="04a0"/>
      </w:tblPr>
      <w:tblGrid>
        <w:gridCol w:w="7793"/>
        <w:gridCol w:w="2410"/>
      </w:tblGrid>
      <w:tr>
        <w:trPr>
          <w:trHeight w:val="608"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очная</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Общая трудоемкость, з.е.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2</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Часов по учебному плану</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72</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аудиторные занятия (контактная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лекционного типа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4</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20</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КСР</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48</w:t>
            </w:r>
          </w:p>
        </w:tc>
      </w:tr>
      <w:tr>
        <w:trPr>
          <w:trHeight w:val="6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Зачёт</w:t>
            </w:r>
          </w:p>
        </w:tc>
      </w:tr>
    </w:tbl>
    <w:p>
      <w:pPr>
        <w:pStyle w:val="Normal"/>
        <w:spacing w:before="0" w:after="1"/>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500" w:type="dxa"/>
        <w:jc w:val="left"/>
        <w:tblInd w:w="32" w:type="dxa"/>
        <w:tblLayout w:type="fixed"/>
        <w:tblCellMar>
          <w:top w:w="15" w:type="dxa"/>
          <w:left w:w="30" w:type="dxa"/>
          <w:bottom w:w="0" w:type="dxa"/>
          <w:right w:w="36" w:type="dxa"/>
        </w:tblCellMar>
        <w:tblLook w:firstRow="1" w:noVBand="1" w:lastRow="0" w:firstColumn="1" w:lastColumn="0" w:noHBand="0" w:val="04a0"/>
      </w:tblPr>
      <w:tblGrid>
        <w:gridCol w:w="5402"/>
        <w:gridCol w:w="745"/>
        <w:gridCol w:w="1105"/>
        <w:gridCol w:w="1176"/>
        <w:gridCol w:w="745"/>
        <w:gridCol w:w="1326"/>
      </w:tblGrid>
      <w:tr>
        <w:trPr>
          <w:trHeight w:val="264" w:hRule="atLeast"/>
        </w:trPr>
        <w:tc>
          <w:tcPr>
            <w:tcW w:w="5402"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Наименование разделов и тем дисциплины</w:t>
            </w:r>
          </w:p>
        </w:tc>
        <w:tc>
          <w:tcPr>
            <w:tcW w:w="74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 (часы)</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left="1726"/>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 том числе</w:t>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8"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26"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часы из них</w:t>
            </w:r>
          </w:p>
        </w:tc>
        <w:tc>
          <w:tcPr>
            <w:tcW w:w="1326"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обучающегося, часы</w:t>
            </w:r>
          </w:p>
        </w:tc>
      </w:tr>
      <w:tr>
        <w:trPr>
          <w:trHeight w:val="1320"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лекционного типа</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(практические занятия/лабора торные работы), часы</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36"/>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w:t>
            </w:r>
          </w:p>
        </w:tc>
        <w:tc>
          <w:tcPr>
            <w:tcW w:w="1326"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02"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27" w:right="416"/>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63" w:right="45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538" w:right="52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Общие вопросы</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26</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20</w:t>
            </w:r>
          </w:p>
        </w:tc>
      </w:tr>
      <w:tr>
        <w:trPr>
          <w:trHeight w:val="546"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Семиотика и принципы клинической диагностики наследственных болезней.</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14</w:t>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 xml:space="preserve">Медико-генетическое консультирование </w:t>
            </w:r>
            <w:r>
              <w:rPr>
                <w:rFonts w:ascii="Times New Roman" w:hAnsi="Times New Roman"/>
                <w:kern w:val="0"/>
                <w:sz w:val="17"/>
                <w:szCs w:val="22"/>
                <w:lang w:val="ru-RU" w:eastAsia="en-US" w:bidi="ar-SA"/>
              </w:rPr>
              <w:t>онкологических больных.</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32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12</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20</w:t>
            </w:r>
          </w:p>
        </w:tc>
      </w:tr>
      <w:tr>
        <w:trPr>
          <w:trHeight w:val="426"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Аттестация</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4"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КСР</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2281" w:type="dxa"/>
            <w:gridSpan w:val="2"/>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Итого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72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24</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48</w:t>
            </w:r>
          </w:p>
        </w:tc>
      </w:tr>
    </w:tbl>
    <w:p>
      <w:pPr>
        <w:pStyle w:val="Normal"/>
        <w:spacing w:before="0" w:after="140"/>
        <w:ind w:right="419"/>
        <w:jc w:val="center"/>
        <w:rPr>
          <w:rFonts w:ascii="Times New Roman" w:hAnsi="Times New Roman"/>
        </w:rPr>
      </w:pPr>
      <w:r>
        <w:rPr>
          <w:rFonts w:ascii="Times New Roman" w:hAnsi="Times New Roman"/>
          <w:b/>
        </w:rPr>
        <w:t>Содержание разделов и тем дисциплины</w:t>
      </w:r>
    </w:p>
    <w:p>
      <w:pPr>
        <w:pStyle w:val="Normal"/>
        <w:spacing w:before="0" w:after="0"/>
        <w:ind w:hanging="10" w:left="-5" w:right="2311"/>
        <w:rPr>
          <w:rFonts w:ascii="Times New Roman" w:hAnsi="Times New Roman"/>
        </w:rPr>
      </w:pPr>
      <w:r>
        <w:rPr>
          <w:rFonts w:ascii="Times New Roman" w:hAnsi="Times New Roman"/>
        </w:rPr>
        <w:t>Общие вопросы</w:t>
      </w:r>
    </w:p>
    <w:p>
      <w:pPr>
        <w:pStyle w:val="Normal"/>
        <w:spacing w:before="0" w:after="0"/>
        <w:ind w:hanging="10" w:left="-5"/>
        <w:rPr>
          <w:rFonts w:ascii="Times New Roman" w:hAnsi="Times New Roman"/>
        </w:rPr>
      </w:pPr>
      <w:r>
        <w:rPr>
          <w:rFonts w:ascii="Times New Roman" w:hAnsi="Times New Roman"/>
        </w:rPr>
        <w:t>Семиотика и принципы клинической диагностики наследственных болезней. Особенности клинического осмотра больных и их родственников с подозрением на наследственную патологию.</w:t>
      </w:r>
    </w:p>
    <w:p>
      <w:pPr>
        <w:pStyle w:val="Normal"/>
        <w:spacing w:before="0" w:after="592"/>
        <w:ind w:hanging="10" w:left="-5" w:right="314"/>
        <w:rPr>
          <w:rFonts w:ascii="Times New Roman" w:hAnsi="Times New Roman"/>
        </w:rPr>
      </w:pPr>
      <w:r>
        <w:rPr>
          <w:rFonts w:ascii="Times New Roman" w:hAnsi="Times New Roman"/>
        </w:rPr>
        <w:t xml:space="preserve">Медико- генетическое консультирование </w:t>
      </w:r>
      <w:r>
        <w:rPr>
          <w:rFonts w:ascii="Times New Roman" w:hAnsi="Times New Roman"/>
          <w:lang w:val="ru-RU"/>
        </w:rPr>
        <w:t>онкологических больных</w:t>
      </w:r>
      <w:r>
        <w:rPr>
          <w:rFonts w:ascii="Times New Roman" w:hAnsi="Times New Roman"/>
        </w:rPr>
        <w:t>. Основные ВПР органов и систем. Хромосомные болезни и генные синдромы. Общие принципы и подходы к лечению наследственных патологий. Симптоматическая, патогенетическая, этиологическая терапия.</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spacing w:lineRule="auto" w:line="223" w:before="0" w:after="351"/>
        <w:ind w:hanging="10" w:left="-5" w:right="17"/>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before="0" w:after="3"/>
        <w:ind w:hanging="10" w:left="-5" w:right="1206"/>
        <w:rPr>
          <w:rFonts w:ascii="Times New Roman" w:hAnsi="Times New Roman"/>
        </w:rPr>
      </w:pPr>
      <w:r>
        <w:rPr>
          <w:rFonts w:ascii="Times New Roman" w:hAnsi="Times New Roman"/>
          <w:sz w:val="24"/>
        </w:rPr>
        <w:t>Положение «О проведении текущего контроля успеваемости и промежуточной аттестации обучающихся в ННГУ», утвержденное приказом ректора ННГУ от 13.05.2021 г. № 241-ОД, с изменениями, утвержденными приказом ректора ННГУ от</w:t>
      </w:r>
    </w:p>
    <w:p>
      <w:pPr>
        <w:pStyle w:val="Normal"/>
        <w:spacing w:before="0" w:after="951"/>
        <w:ind w:hanging="10" w:left="-5"/>
        <w:rPr>
          <w:rFonts w:ascii="Times New Roman" w:hAnsi="Times New Roman"/>
        </w:rPr>
      </w:pPr>
      <w:r>
        <w:rPr>
          <w:rFonts w:ascii="Times New Roman" w:hAnsi="Times New Roman"/>
          <w:sz w:val="24"/>
        </w:rPr>
        <w:t>10.09.2021 № 496-ОД;</w:t>
      </w:r>
    </w:p>
    <w:p>
      <w:pPr>
        <w:pStyle w:val="Normal"/>
        <w:numPr>
          <w:ilvl w:val="0"/>
          <w:numId w:val="2"/>
        </w:numPr>
        <w:spacing w:before="0" w:after="232"/>
        <w:ind w:hanging="300" w:left="30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промежуточнойаттестации по дисциплине (модулю</w:t>
      </w:r>
      <w:r>
        <w:rPr>
          <w:rFonts w:ascii="Times New Roman" w:hAnsi="Times New Roman"/>
          <w:sz w:val="24"/>
        </w:rPr>
        <w:t>)</w:t>
      </w:r>
    </w:p>
    <w:p>
      <w:pPr>
        <w:pStyle w:val="Normal"/>
        <w:numPr>
          <w:ilvl w:val="1"/>
          <w:numId w:val="2"/>
        </w:numPr>
        <w:spacing w:before="0" w:after="119"/>
        <w:ind w:hanging="10" w:left="730"/>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УК-1:</w:t>
      </w:r>
    </w:p>
    <w:p>
      <w:pPr>
        <w:pStyle w:val="Normal"/>
        <w:widowControl/>
        <w:bidi w:val="0"/>
        <w:spacing w:lineRule="auto" w:line="511" w:before="0" w:after="0"/>
        <w:ind w:hanging="0" w:left="0" w:right="0"/>
        <w:jc w:val="left"/>
        <w:rPr>
          <w:rFonts w:ascii="Times New Roman" w:hAnsi="Times New Roman"/>
        </w:rPr>
      </w:pPr>
      <w:r>
        <w:rPr>
          <w:rFonts w:ascii="Times New Roman" w:hAnsi="Times New Roman"/>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Normal"/>
        <w:spacing w:before="0" w:after="119"/>
        <w:ind w:hanging="10" w:left="-5"/>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ОПК-4:</w:t>
      </w:r>
    </w:p>
    <w:p>
      <w:pPr>
        <w:pStyle w:val="Normal"/>
        <w:widowControl/>
        <w:bidi w:val="0"/>
        <w:spacing w:lineRule="auto" w:line="511" w:before="0" w:after="19"/>
        <w:ind w:hanging="0" w:left="0" w:right="0"/>
        <w:jc w:val="left"/>
        <w:rPr>
          <w:rFonts w:ascii="Times New Roman" w:hAnsi="Times New Roman"/>
        </w:rPr>
      </w:pPr>
      <w:r>
        <w:rPr>
          <w:rFonts w:ascii="Times New Roman" w:hAnsi="Times New Roman"/>
        </w:rPr>
        <w:t>На прием к генетику обратилась девушка с просьбой определить риск развития у нее рака молочной железы и провести генетическую диагностику на данное заболевание. Из анамнеза, у матери, бабушки и прабабушки пробанда был диагностирован рак молочной железы в молодом возрасте, были проведены радикальные мастэктомии . Возраст пробанда 20 лет, рост 170 см, вес 57 кг, правильного телосложения, отставания в умственном развитии не наблюдалось. При пальпации молочных желез патологии не выявлено. На УЗИ молочных желез без патологии.</w:t>
      </w:r>
    </w:p>
    <w:p>
      <w:pPr>
        <w:pStyle w:val="Normal"/>
        <w:spacing w:lineRule="auto" w:line="511" w:before="0" w:after="19"/>
        <w:ind w:hanging="10" w:left="-5" w:right="2311"/>
        <w:rPr>
          <w:rFonts w:ascii="Times New Roman" w:hAnsi="Times New Roman"/>
        </w:rPr>
      </w:pPr>
      <w:r>
        <w:rPr>
          <w:rFonts w:ascii="Times New Roman" w:hAnsi="Times New Roman"/>
        </w:rPr>
        <w:t xml:space="preserve">1. Какой диагноз у матери, бабушки и прабабушки пробанда? </w:t>
      </w:r>
    </w:p>
    <w:p>
      <w:pPr>
        <w:pStyle w:val="Normal"/>
        <w:spacing w:lineRule="auto" w:line="511" w:before="0" w:after="19"/>
        <w:ind w:hanging="10" w:left="-5" w:right="2311"/>
        <w:rPr>
          <w:rFonts w:ascii="Times New Roman" w:hAnsi="Times New Roman"/>
        </w:rPr>
      </w:pPr>
      <w:r>
        <w:rPr>
          <w:rFonts w:ascii="Times New Roman" w:hAnsi="Times New Roman"/>
        </w:rPr>
        <w:t>2. Какое исследование рекомендовано данной пациентке?</w:t>
      </w:r>
    </w:p>
    <w:p>
      <w:pPr>
        <w:pStyle w:val="Normal"/>
        <w:spacing w:lineRule="auto" w:line="511" w:before="0" w:after="19"/>
        <w:ind w:hanging="10" w:left="-5" w:right="2311"/>
        <w:rPr>
          <w:rFonts w:ascii="Times New Roman" w:hAnsi="Times New Roman"/>
        </w:rPr>
      </w:pPr>
      <w:r>
        <w:rPr>
          <w:rFonts w:ascii="Times New Roman" w:hAnsi="Times New Roman"/>
        </w:rPr>
        <w:t xml:space="preserve">3. В каких генах чаще всего встречаются поломки при данном наследственном синдроме? </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33" w:type="dxa"/>
        <w:tblLayout w:type="fixed"/>
        <w:tblCellMar>
          <w:top w:w="10" w:type="dxa"/>
          <w:left w:w="31" w:type="dxa"/>
          <w:bottom w:w="0" w:type="dxa"/>
          <w:right w:w="115" w:type="dxa"/>
        </w:tblCellMar>
        <w:tblLook w:firstRow="1" w:noVBand="1" w:lastRow="0" w:firstColumn="1" w:lastColumn="0" w:noHBand="0" w:val="04a0"/>
      </w:tblPr>
      <w:tblGrid>
        <w:gridCol w:w="966"/>
        <w:gridCol w:w="8783"/>
      </w:tblGrid>
      <w:tr>
        <w:trPr>
          <w:trHeight w:val="63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06"/>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60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ординатор правильно решил задачу, дал полный и развернутый ответ</w:t>
            </w:r>
          </w:p>
        </w:tc>
      </w:tr>
      <w:tr>
        <w:trPr>
          <w:trHeight w:val="898"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обучающийся не справился с предложенной ситуационной задачей, не может правильно интерпретировать ее решение и не справляется с дополнительным заданием.</w:t>
            </w:r>
          </w:p>
        </w:tc>
      </w:tr>
    </w:tbl>
    <w:p>
      <w:pPr>
        <w:pStyle w:val="Normal"/>
        <w:spacing w:before="0" w:after="119"/>
        <w:ind w:hanging="10" w:left="-5"/>
        <w:jc w:val="both"/>
        <w:rPr>
          <w:rFonts w:ascii="Times New Roman" w:hAnsi="Times New Roman"/>
        </w:rPr>
      </w:pPr>
      <w:r>
        <w:rPr>
          <w:rFonts w:ascii="Times New Roman" w:hAnsi="Times New Roman"/>
          <w:b/>
          <w:sz w:val="24"/>
        </w:rPr>
        <w:t>5.1.3 Типовые задания (оценочное средство - Реферат) для оценки сформированности компетенции УК-1: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Номенклатура патологических состояний в тератологии: агенезия, аплазия, атрезия, стеноз, эктопия и др.</w:t>
      </w:r>
    </w:p>
    <w:p>
      <w:pPr>
        <w:pStyle w:val="Normal"/>
        <w:spacing w:before="0" w:after="119"/>
        <w:ind w:hanging="10" w:left="-5"/>
        <w:jc w:val="both"/>
        <w:rPr>
          <w:rFonts w:ascii="Times New Roman" w:hAnsi="Times New Roman"/>
        </w:rPr>
      </w:pPr>
      <w:r>
        <w:rPr>
          <w:rFonts w:ascii="Times New Roman" w:hAnsi="Times New Roman"/>
          <w:b/>
          <w:sz w:val="24"/>
        </w:rPr>
        <w:t>5.1.4 Типовые задания (оценочное средство - Реферат) для оценки сформированности компетенции ОПК-4:</w:t>
      </w:r>
    </w:p>
    <w:p>
      <w:pPr>
        <w:pStyle w:val="Normal"/>
        <w:widowControl/>
        <w:bidi w:val="0"/>
        <w:spacing w:lineRule="auto" w:line="511" w:before="0" w:after="19"/>
        <w:ind w:hanging="0" w:left="0" w:right="170"/>
        <w:jc w:val="left"/>
        <w:rPr>
          <w:rFonts w:ascii="Times New Roman" w:hAnsi="Times New Roman"/>
        </w:rPr>
      </w:pPr>
      <w:r>
        <w:rPr>
          <w:rFonts w:ascii="Times New Roman" w:hAnsi="Times New Roman"/>
        </w:rPr>
        <w:t>Классификация врожденных пороков развития по этиологическим факторам и анатом</w:t>
      </w:r>
      <w:r>
        <w:rPr>
          <w:rFonts w:ascii="Times New Roman" w:hAnsi="Times New Roman"/>
          <w:lang w:val="ru-RU"/>
        </w:rPr>
        <w:t>о</w:t>
      </w:r>
      <w:r>
        <w:rPr>
          <w:rFonts w:ascii="Times New Roman" w:hAnsi="Times New Roman"/>
        </w:rPr>
        <w:t>-физиологическому признаку</w:t>
      </w:r>
    </w:p>
    <w:p>
      <w:pPr>
        <w:pStyle w:val="Normal"/>
        <w:spacing w:before="0" w:after="119"/>
        <w:ind w:hanging="10" w:left="-5"/>
        <w:jc w:val="both"/>
        <w:rPr>
          <w:rFonts w:ascii="Times New Roman" w:hAnsi="Times New Roman"/>
        </w:rPr>
      </w:pPr>
      <w:r>
        <w:rPr>
          <w:rFonts w:ascii="Times New Roman" w:hAnsi="Times New Roman"/>
          <w:b/>
          <w:sz w:val="24"/>
        </w:rPr>
        <w:t>5.1.5 Типовые задания (оценочное средство - Реферат) для оценки сформированности компетенции ОПК-5:</w:t>
      </w:r>
    </w:p>
    <w:p>
      <w:pPr>
        <w:pStyle w:val="Normal"/>
        <w:widowControl/>
        <w:bidi w:val="0"/>
        <w:spacing w:lineRule="auto" w:line="511" w:before="0" w:after="19"/>
        <w:ind w:hanging="0" w:left="0" w:right="113"/>
        <w:jc w:val="left"/>
        <w:rPr>
          <w:rFonts w:ascii="Times New Roman" w:hAnsi="Times New Roman"/>
        </w:rPr>
      </w:pPr>
      <w:r>
        <w:rPr>
          <w:rFonts w:ascii="Times New Roman" w:hAnsi="Times New Roman"/>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p>
    <w:p>
      <w:pPr>
        <w:pStyle w:val="Normal"/>
        <w:spacing w:before="0" w:after="119"/>
        <w:ind w:hanging="10" w:left="-5"/>
        <w:jc w:val="both"/>
        <w:rPr>
          <w:rFonts w:ascii="Times New Roman" w:hAnsi="Times New Roman"/>
        </w:rPr>
      </w:pPr>
      <w:r>
        <w:rPr>
          <w:rFonts w:ascii="Times New Roman" w:hAnsi="Times New Roman"/>
          <w:b/>
          <w:sz w:val="24"/>
        </w:rPr>
        <w:t>5.1.6 Типовые задания (оценочное средство - Реферат) для оценки сформированности компетенции ПК-1: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Семья как объект медико-генетического наблюдения. Необходимость семейного подхода при обследовании пациентов</w:t>
      </w:r>
    </w:p>
    <w:p>
      <w:pPr>
        <w:pStyle w:val="Normal"/>
        <w:spacing w:before="0" w:after="119"/>
        <w:ind w:hanging="10" w:left="-5"/>
        <w:jc w:val="both"/>
        <w:rPr>
          <w:rFonts w:ascii="Times New Roman" w:hAnsi="Times New Roman"/>
        </w:rPr>
      </w:pPr>
      <w:r>
        <w:rPr>
          <w:rFonts w:ascii="Times New Roman" w:hAnsi="Times New Roman"/>
          <w:b/>
          <w:sz w:val="24"/>
        </w:rPr>
        <w:t>Критерии оценивания (оценочное средство - Реферат)</w:t>
      </w:r>
    </w:p>
    <w:tbl>
      <w:tblPr>
        <w:tblStyle w:val="TableGrid"/>
        <w:tblW w:w="9750" w:type="dxa"/>
        <w:jc w:val="left"/>
        <w:tblInd w:w="32" w:type="dxa"/>
        <w:tblLayout w:type="fixed"/>
        <w:tblCellMar>
          <w:top w:w="10" w:type="dxa"/>
          <w:left w:w="30" w:type="dxa"/>
          <w:bottom w:w="0" w:type="dxa"/>
          <w:right w:w="83" w:type="dxa"/>
        </w:tblCellMar>
        <w:tblLook w:firstRow="1" w:noVBand="1" w:lastRow="0" w:firstColumn="1" w:lastColumn="0" w:noHBand="0" w:val="04a0"/>
      </w:tblPr>
      <w:tblGrid>
        <w:gridCol w:w="2268"/>
        <w:gridCol w:w="7481"/>
      </w:tblGrid>
      <w:tr>
        <w:trPr>
          <w:trHeight w:val="636" w:hRule="atLeast"/>
        </w:trPr>
        <w:tc>
          <w:tcPr>
            <w:tcW w:w="22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7"/>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74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5"/>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1476" w:hRule="atLeast"/>
        </w:trPr>
        <w:tc>
          <w:tcPr>
            <w:tcW w:w="22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отлично</w:t>
            </w:r>
          </w:p>
        </w:tc>
        <w:tc>
          <w:tcPr>
            <w:tcW w:w="74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структура и содержание реферата полностью соответствует требованиям, использовано не менее 10 современных дополнительных литературных источников; проведен полный сравнительный анализ и синтез материала, сделаны собственные выводы и рекомендации;</w:t>
            </w:r>
          </w:p>
        </w:tc>
      </w:tr>
      <w:tr>
        <w:trPr>
          <w:trHeight w:val="1188" w:hRule="atLeast"/>
        </w:trPr>
        <w:tc>
          <w:tcPr>
            <w:tcW w:w="22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хорошо</w:t>
            </w:r>
          </w:p>
        </w:tc>
        <w:tc>
          <w:tcPr>
            <w:tcW w:w="74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структура реферата соответствует установленным требованиям, использовано не менее 7-8 современных дополнительных литературных источников, сравнительный анализ неполный, сделаны собственные выводы;</w:t>
            </w:r>
          </w:p>
        </w:tc>
      </w:tr>
      <w:tr>
        <w:trPr>
          <w:trHeight w:val="1476" w:hRule="atLeast"/>
        </w:trPr>
        <w:tc>
          <w:tcPr>
            <w:tcW w:w="22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удовлетворительно</w:t>
            </w:r>
          </w:p>
        </w:tc>
        <w:tc>
          <w:tcPr>
            <w:tcW w:w="74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нарушение структуры построения реферата, содержание неполное, использовано менее 5 дополнительных литературных источников, отсутствуют самостоятельный анализ и синтез материала, собственные выводы;</w:t>
            </w:r>
          </w:p>
        </w:tc>
      </w:tr>
      <w:tr>
        <w:trPr>
          <w:trHeight w:val="1188" w:hRule="atLeast"/>
        </w:trPr>
        <w:tc>
          <w:tcPr>
            <w:tcW w:w="22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неудовлетворительно</w:t>
            </w:r>
          </w:p>
        </w:tc>
        <w:tc>
          <w:tcPr>
            <w:tcW w:w="74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 «неудовлетворительно» - нарушена структура, содержание не соответствует требованиям, использованы только учебная литература, отсутствуют анализ, синтез материала, выводы.</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6"/>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114" w:type="dxa"/>
        <w:tblLayout w:type="fixed"/>
        <w:tblCellMar>
          <w:top w:w="12" w:type="dxa"/>
          <w:left w:w="109" w:type="dxa"/>
          <w:bottom w:w="0" w:type="dxa"/>
          <w:right w:w="108" w:type="dxa"/>
        </w:tblCellMar>
        <w:tblLook w:firstRow="1" w:noVBand="1" w:lastRow="0" w:firstColumn="1" w:lastColumn="0" w:noHBand="0" w:val="04a0"/>
      </w:tblPr>
      <w:tblGrid>
        <w:gridCol w:w="1782"/>
        <w:gridCol w:w="1986"/>
        <w:gridCol w:w="1906"/>
        <w:gridCol w:w="1906"/>
        <w:gridCol w:w="2200"/>
      </w:tblGrid>
      <w:tr>
        <w:trPr>
          <w:trHeight w:val="1306" w:hRule="atLeast"/>
        </w:trPr>
        <w:tc>
          <w:tcPr>
            <w:tcW w:w="17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52"/>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r>
      <w:tr>
        <w:trPr>
          <w:trHeight w:val="300" w:hRule="atLeast"/>
        </w:trPr>
        <w:tc>
          <w:tcPr>
            <w:tcW w:w="178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2"/>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r>
      <w:tr>
        <w:trPr>
          <w:trHeight w:val="1458"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Знания</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4"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Умения</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1252"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Навыки</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 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Имеется минимальный набор 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при решении</w:t>
            </w:r>
          </w:p>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навыки при решении 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20" w:type="dxa"/>
        <w:tblLayout w:type="fixed"/>
        <w:tblCellMar>
          <w:top w:w="17" w:type="dxa"/>
          <w:left w:w="10" w:type="dxa"/>
          <w:bottom w:w="0" w:type="dxa"/>
          <w:right w:w="103" w:type="dxa"/>
        </w:tblCellMar>
        <w:tblLook w:firstRow="1" w:noVBand="1" w:lastRow="0" w:firstColumn="1" w:lastColumn="0" w:noHBand="0" w:val="04a0"/>
      </w:tblPr>
      <w:tblGrid>
        <w:gridCol w:w="988"/>
        <w:gridCol w:w="1560"/>
        <w:gridCol w:w="7232"/>
      </w:tblGrid>
      <w:tr>
        <w:trPr>
          <w:trHeight w:val="330" w:hRule="atLeast"/>
        </w:trPr>
        <w:tc>
          <w:tcPr>
            <w:tcW w:w="988"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left="-24"/>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Оценка</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14"/>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подготовки</w:t>
            </w:r>
          </w:p>
        </w:tc>
      </w:tr>
      <w:tr>
        <w:trPr>
          <w:trHeight w:val="640" w:hRule="atLeast"/>
        </w:trPr>
        <w:tc>
          <w:tcPr>
            <w:tcW w:w="988"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8" w:type="dxa"/>
            <w:vMerge w:val="continue"/>
            <w:tcBorders>
              <w:left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8"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 ьно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8"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 ельно</w:t>
            </w:r>
          </w:p>
        </w:tc>
        <w:tc>
          <w:tcPr>
            <w:tcW w:w="7232"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19"/>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УК-1</w:t>
      </w:r>
    </w:p>
    <w:p>
      <w:pPr>
        <w:pStyle w:val="Normal"/>
        <w:widowControl/>
        <w:bidi w:val="0"/>
        <w:spacing w:lineRule="auto" w:line="511" w:before="0" w:after="19"/>
        <w:ind w:hanging="0" w:left="0" w:right="1077"/>
        <w:jc w:val="left"/>
        <w:rPr>
          <w:rFonts w:ascii="Times New Roman" w:hAnsi="Times New Roman"/>
        </w:rPr>
      </w:pPr>
      <w:r>
        <w:rPr>
          <w:rFonts w:ascii="Times New Roman" w:hAnsi="Times New Roman"/>
        </w:rPr>
        <w:t>Наследственные болезни: определение, этиология, отличия от врожденных и семейных болезней.</w:t>
      </w:r>
    </w:p>
    <w:p>
      <w:pPr>
        <w:pStyle w:val="Normal"/>
        <w:spacing w:before="0" w:after="119"/>
        <w:ind w:hanging="10" w:left="-5"/>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ОПК-4</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Особенности клинического осмотра больных и их родственников с подозрением на наследственную патологию.</w:t>
      </w:r>
    </w:p>
    <w:p>
      <w:pPr>
        <w:pStyle w:val="Normal"/>
        <w:spacing w:before="0" w:after="119"/>
        <w:ind w:hanging="10" w:left="-5"/>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283"/>
        <w:ind w:hanging="10" w:left="-5" w:right="2311"/>
        <w:rPr>
          <w:rFonts w:ascii="Times New Roman" w:hAnsi="Times New Roman"/>
        </w:rPr>
      </w:pPr>
      <w:r>
        <w:rPr>
          <w:rFonts w:ascii="Times New Roman" w:hAnsi="Times New Roman"/>
        </w:rPr>
        <w:t>Принципы лечения наследственных болезней.</w:t>
      </w:r>
    </w:p>
    <w:p>
      <w:pPr>
        <w:pStyle w:val="Normal"/>
        <w:spacing w:before="0" w:after="119"/>
        <w:ind w:hanging="10" w:left="-5"/>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widowControl/>
        <w:bidi w:val="0"/>
        <w:spacing w:lineRule="auto" w:line="259" w:before="0" w:after="283"/>
        <w:ind w:hanging="0" w:left="0" w:right="907"/>
        <w:jc w:val="left"/>
        <w:rPr>
          <w:rFonts w:ascii="Times New Roman" w:hAnsi="Times New Roman"/>
        </w:rPr>
      </w:pPr>
      <w:r>
        <w:rPr>
          <w:rFonts w:ascii="Times New Roman" w:hAnsi="Times New Roman"/>
        </w:rPr>
        <w:t>Мониторинг врожденных пороков развития.</w:t>
      </w:r>
    </w:p>
    <w:p>
      <w:pPr>
        <w:pStyle w:val="Normal"/>
        <w:widowControl/>
        <w:bidi w:val="0"/>
        <w:spacing w:lineRule="auto" w:line="511" w:before="0" w:after="19"/>
        <w:ind w:hanging="0" w:left="0" w:right="1644"/>
        <w:jc w:val="left"/>
        <w:rPr>
          <w:rFonts w:ascii="Times New Roman" w:hAnsi="Times New Roman"/>
        </w:rPr>
      </w:pPr>
      <w:r>
        <w:rPr>
          <w:rFonts w:ascii="Times New Roman" w:hAnsi="Times New Roman"/>
        </w:rPr>
        <w:t>Определение, задачи, источники информации. Частота и профилактика врождённых пороков развития.</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4" w:type="dxa"/>
        <w:tblLayout w:type="fixed"/>
        <w:tblCellMar>
          <w:top w:w="10" w:type="dxa"/>
          <w:left w:w="2" w:type="dxa"/>
          <w:bottom w:w="0" w:type="dxa"/>
          <w:right w:w="113" w:type="dxa"/>
        </w:tblCellMar>
        <w:tblLook w:firstRow="1" w:noVBand="1" w:lastRow="0" w:firstColumn="1" w:lastColumn="0" w:noHBand="0" w:val="04a0"/>
      </w:tblPr>
      <w:tblGrid>
        <w:gridCol w:w="2834"/>
        <w:gridCol w:w="2427"/>
        <w:gridCol w:w="4489"/>
      </w:tblGrid>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19"/>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28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3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ind w:left="3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Дал развернутый ответ</w:t>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60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08"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дал развернутый ответ</w:t>
            </w:r>
          </w:p>
        </w:tc>
      </w:tr>
    </w:tbl>
    <w:p>
      <w:pPr>
        <w:pStyle w:val="Normal"/>
        <w:spacing w:before="0" w:after="119"/>
        <w:ind w:hanging="10" w:left="-5"/>
        <w:jc w:val="both"/>
        <w:rPr>
          <w:rFonts w:ascii="Times New Roman" w:hAnsi="Times New Roman"/>
        </w:rPr>
      </w:pPr>
      <w:r>
        <w:rPr>
          <w:rFonts w:ascii="Times New Roman" w:hAnsi="Times New Roman"/>
          <w:b/>
          <w:sz w:val="24"/>
        </w:rPr>
        <w:t>5.3.5 Типовые задания (оценочное средство - Тест) для оценки сформированности компетенции</w:t>
      </w:r>
      <w:r>
        <w:rPr>
          <w:rFonts w:ascii="Times New Roman" w:hAnsi="Times New Roman"/>
          <w:sz w:val="24"/>
        </w:rPr>
        <w:t xml:space="preserve"> УК-1</w:t>
      </w:r>
    </w:p>
    <w:p>
      <w:pPr>
        <w:pStyle w:val="Normal"/>
        <w:spacing w:before="0" w:after="283"/>
        <w:ind w:hanging="10" w:left="-5" w:right="2311"/>
        <w:rPr>
          <w:rFonts w:ascii="Times New Roman" w:hAnsi="Times New Roman"/>
        </w:rPr>
      </w:pPr>
      <w:r>
        <w:rPr>
          <w:rFonts w:ascii="Times New Roman" w:hAnsi="Times New Roman"/>
        </w:rPr>
        <w:t>Врожденные заболевания - это: УК-1</w:t>
      </w:r>
    </w:p>
    <w:p>
      <w:pPr>
        <w:pStyle w:val="Normal"/>
        <w:spacing w:before="0" w:after="283"/>
        <w:ind w:hanging="10" w:left="-5" w:right="2311"/>
        <w:rPr>
          <w:rFonts w:ascii="Times New Roman" w:hAnsi="Times New Roman"/>
        </w:rPr>
      </w:pPr>
      <w:r>
        <w:rPr>
          <w:rFonts w:ascii="Times New Roman" w:hAnsi="Times New Roman"/>
        </w:rPr>
        <w:t>а) заболевания, обусловленные мутацией генов;</w:t>
      </w:r>
    </w:p>
    <w:p>
      <w:pPr>
        <w:pStyle w:val="Normal"/>
        <w:spacing w:before="0" w:after="283"/>
        <w:ind w:hanging="10" w:left="-5" w:right="2311"/>
        <w:rPr>
          <w:rFonts w:ascii="Times New Roman" w:hAnsi="Times New Roman"/>
        </w:rPr>
      </w:pPr>
      <w:r>
        <w:rPr>
          <w:rFonts w:ascii="Times New Roman" w:hAnsi="Times New Roman"/>
        </w:rPr>
        <w:t>б) заболевания, проявляющиеся на 1-м году жизни ребенка;</w:t>
      </w:r>
    </w:p>
    <w:p>
      <w:pPr>
        <w:pStyle w:val="Normal"/>
        <w:spacing w:before="0" w:after="283"/>
        <w:ind w:hanging="10" w:left="-5" w:right="2311"/>
        <w:rPr>
          <w:rFonts w:ascii="Times New Roman" w:hAnsi="Times New Roman"/>
        </w:rPr>
      </w:pPr>
      <w:r>
        <w:rPr>
          <w:rFonts w:ascii="Times New Roman" w:hAnsi="Times New Roman"/>
        </w:rPr>
        <w:t>в) заболевания, проявляющиеся при рождении;</w:t>
      </w:r>
    </w:p>
    <w:p>
      <w:pPr>
        <w:pStyle w:val="Normal"/>
        <w:spacing w:before="0" w:after="283"/>
        <w:ind w:hanging="10" w:left="-5" w:right="2311"/>
        <w:rPr>
          <w:rFonts w:ascii="Times New Roman" w:hAnsi="Times New Roman"/>
        </w:rPr>
      </w:pPr>
      <w:r>
        <w:rPr>
          <w:rFonts w:ascii="Times New Roman" w:hAnsi="Times New Roman"/>
        </w:rPr>
        <w:t>г) заболевания, не поддающиеся лечению.</w:t>
      </w:r>
    </w:p>
    <w:p>
      <w:pPr>
        <w:pStyle w:val="Normal"/>
        <w:spacing w:before="0" w:after="119"/>
        <w:ind w:hanging="10" w:left="-5"/>
        <w:jc w:val="both"/>
        <w:rPr>
          <w:rFonts w:ascii="Times New Roman" w:hAnsi="Times New Roman"/>
        </w:rPr>
      </w:pPr>
      <w:r>
        <w:rPr>
          <w:rFonts w:ascii="Times New Roman" w:hAnsi="Times New Roman"/>
          <w:b/>
          <w:sz w:val="24"/>
        </w:rPr>
        <w:t>5.3.6 Типовые задания (оценочное средство - Тест) для оценки сформированности компетенции</w:t>
      </w:r>
      <w:r>
        <w:rPr>
          <w:rFonts w:ascii="Times New Roman" w:hAnsi="Times New Roman"/>
          <w:sz w:val="24"/>
        </w:rPr>
        <w:t xml:space="preserve"> ОПК-4</w:t>
      </w:r>
    </w:p>
    <w:p>
      <w:pPr>
        <w:pStyle w:val="Normal"/>
        <w:spacing w:lineRule="auto" w:line="511" w:before="0" w:after="0"/>
        <w:ind w:hanging="10" w:left="-5" w:right="2311"/>
        <w:rPr>
          <w:rFonts w:ascii="Times New Roman" w:hAnsi="Times New Roman"/>
        </w:rPr>
      </w:pPr>
      <w:r>
        <w:rPr>
          <w:rFonts w:ascii="Times New Roman" w:hAnsi="Times New Roman"/>
        </w:rPr>
        <w:t>Возможными причинами различия клинической картины наследственного заболевания могут быть: УК-1</w:t>
      </w:r>
    </w:p>
    <w:p>
      <w:pPr>
        <w:pStyle w:val="Normal"/>
        <w:spacing w:before="0" w:after="283"/>
        <w:ind w:hanging="10" w:left="-5" w:right="2311"/>
        <w:rPr>
          <w:rFonts w:ascii="Times New Roman" w:hAnsi="Times New Roman"/>
        </w:rPr>
      </w:pPr>
      <w:r>
        <w:rPr>
          <w:rFonts w:ascii="Times New Roman" w:hAnsi="Times New Roman"/>
        </w:rPr>
        <w:t>а) неполная пенетрантность гена;</w:t>
      </w:r>
    </w:p>
    <w:p>
      <w:pPr>
        <w:pStyle w:val="Normal"/>
        <w:spacing w:before="0" w:after="283"/>
        <w:ind w:hanging="10" w:left="-5" w:right="2311"/>
        <w:rPr>
          <w:rFonts w:ascii="Times New Roman" w:hAnsi="Times New Roman"/>
        </w:rPr>
      </w:pPr>
      <w:r>
        <w:rPr>
          <w:rFonts w:ascii="Times New Roman" w:hAnsi="Times New Roman"/>
        </w:rPr>
        <w:t>б) пол больного;</w:t>
      </w:r>
    </w:p>
    <w:p>
      <w:pPr>
        <w:pStyle w:val="Normal"/>
        <w:spacing w:before="0" w:after="283"/>
        <w:ind w:hanging="10" w:left="-5" w:right="2311"/>
        <w:rPr>
          <w:rFonts w:ascii="Times New Roman" w:hAnsi="Times New Roman"/>
        </w:rPr>
      </w:pPr>
      <w:r>
        <w:rPr>
          <w:rFonts w:ascii="Times New Roman" w:hAnsi="Times New Roman"/>
        </w:rPr>
        <w:t>в) варьирующая экспрессивность гена;</w:t>
      </w:r>
    </w:p>
    <w:p>
      <w:pPr>
        <w:pStyle w:val="Normal"/>
        <w:spacing w:before="0" w:after="283"/>
        <w:ind w:hanging="10" w:left="-5" w:right="2311"/>
        <w:rPr>
          <w:rFonts w:ascii="Times New Roman" w:hAnsi="Times New Roman"/>
        </w:rPr>
      </w:pPr>
      <w:r>
        <w:rPr>
          <w:rFonts w:ascii="Times New Roman" w:hAnsi="Times New Roman"/>
        </w:rPr>
        <w:t>г) воздействие факторов среды;</w:t>
      </w:r>
    </w:p>
    <w:p>
      <w:pPr>
        <w:pStyle w:val="Normal"/>
        <w:spacing w:before="0" w:after="283"/>
        <w:ind w:hanging="10" w:left="-5" w:right="2311"/>
        <w:rPr>
          <w:rFonts w:ascii="Times New Roman" w:hAnsi="Times New Roman"/>
        </w:rPr>
      </w:pPr>
      <w:r>
        <w:rPr>
          <w:rFonts w:ascii="Times New Roman" w:hAnsi="Times New Roman"/>
        </w:rPr>
        <w:t>д) возраст больного.</w:t>
      </w:r>
    </w:p>
    <w:p>
      <w:pPr>
        <w:pStyle w:val="Normal"/>
        <w:spacing w:before="0" w:after="119"/>
        <w:ind w:hanging="10" w:left="-5"/>
        <w:jc w:val="both"/>
        <w:rPr>
          <w:rFonts w:ascii="Times New Roman" w:hAnsi="Times New Roman"/>
        </w:rPr>
      </w:pPr>
      <w:r>
        <w:rPr>
          <w:rFonts w:ascii="Times New Roman" w:hAnsi="Times New Roman"/>
          <w:b/>
          <w:sz w:val="24"/>
        </w:rPr>
        <w:t>5.3.7 Типовые задания (оценочное средство - Тест) для оценки сформированности компетенции</w:t>
      </w:r>
      <w:r>
        <w:rPr>
          <w:rFonts w:ascii="Times New Roman" w:hAnsi="Times New Roman"/>
          <w:sz w:val="24"/>
        </w:rPr>
        <w:t xml:space="preserve"> ОПК-5</w:t>
      </w:r>
    </w:p>
    <w:p>
      <w:pPr>
        <w:pStyle w:val="Normal"/>
        <w:widowControl/>
        <w:bidi w:val="0"/>
        <w:spacing w:lineRule="auto" w:line="511" w:before="0" w:after="0"/>
        <w:ind w:hanging="0" w:left="0" w:right="340"/>
        <w:jc w:val="left"/>
        <w:rPr>
          <w:rFonts w:ascii="Times New Roman" w:hAnsi="Times New Roman"/>
        </w:rPr>
      </w:pPr>
      <w:r>
        <w:rPr>
          <w:rFonts w:ascii="Times New Roman" w:hAnsi="Times New Roman"/>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 ПК-6</w:t>
      </w:r>
    </w:p>
    <w:p>
      <w:pPr>
        <w:pStyle w:val="Normal"/>
        <w:spacing w:before="0" w:after="283"/>
        <w:ind w:hanging="10" w:left="-5" w:right="2311"/>
        <w:rPr>
          <w:rFonts w:ascii="Times New Roman" w:hAnsi="Times New Roman"/>
        </w:rPr>
      </w:pPr>
      <w:r>
        <w:rPr>
          <w:rFonts w:ascii="Times New Roman" w:hAnsi="Times New Roman"/>
        </w:rPr>
        <w:t>а) рекомендовать прерывание беременности;</w:t>
      </w:r>
    </w:p>
    <w:p>
      <w:pPr>
        <w:pStyle w:val="Normal"/>
        <w:spacing w:lineRule="auto" w:line="511" w:before="0" w:after="0"/>
        <w:ind w:hanging="10" w:left="-5" w:right="2311"/>
        <w:rPr>
          <w:rFonts w:ascii="Times New Roman" w:hAnsi="Times New Roman"/>
        </w:rPr>
      </w:pPr>
      <w:r>
        <w:rPr>
          <w:rFonts w:ascii="Times New Roman" w:hAnsi="Times New Roman"/>
        </w:rPr>
        <w:t>б) предоставить семье полную информацию о вероятном состоянии здоровья ребенка, возможностях его лечения и социальной адаптации;</w:t>
      </w:r>
    </w:p>
    <w:p>
      <w:pPr>
        <w:pStyle w:val="Normal"/>
        <w:spacing w:lineRule="auto" w:line="511" w:before="0" w:after="0"/>
        <w:ind w:hanging="10" w:left="-5" w:right="2311"/>
        <w:rPr>
          <w:rFonts w:ascii="Times New Roman" w:hAnsi="Times New Roman"/>
        </w:rPr>
      </w:pPr>
      <w:r>
        <w:rPr>
          <w:rFonts w:ascii="Times New Roman" w:hAnsi="Times New Roman"/>
        </w:rPr>
        <w:t>в) предоставить право окончательного решения о пролонгировании или прерывании беременности родителям;</w:t>
      </w:r>
    </w:p>
    <w:p>
      <w:pPr>
        <w:pStyle w:val="Normal"/>
        <w:spacing w:before="0" w:after="283"/>
        <w:ind w:hanging="10" w:left="-5" w:right="2311"/>
        <w:rPr>
          <w:rFonts w:ascii="Times New Roman" w:hAnsi="Times New Roman"/>
        </w:rPr>
      </w:pPr>
      <w:r>
        <w:rPr>
          <w:rFonts w:ascii="Times New Roman" w:hAnsi="Times New Roman"/>
        </w:rPr>
        <w:t>г) рекомендовать повторную беременность</w:t>
      </w:r>
    </w:p>
    <w:p>
      <w:pPr>
        <w:pStyle w:val="Normal"/>
        <w:spacing w:before="0" w:after="119"/>
        <w:ind w:hanging="10" w:left="-5"/>
        <w:jc w:val="both"/>
        <w:rPr>
          <w:rFonts w:ascii="Times New Roman" w:hAnsi="Times New Roman"/>
        </w:rPr>
      </w:pPr>
      <w:r>
        <w:rPr>
          <w:rFonts w:ascii="Times New Roman" w:hAnsi="Times New Roman"/>
          <w:b/>
          <w:sz w:val="24"/>
        </w:rPr>
        <w:t>5.3.8 Типовые задания (оценочное средство - Тест) для оценки сформированности компетенции</w:t>
      </w:r>
      <w:r>
        <w:rPr>
          <w:rFonts w:ascii="Times New Roman" w:hAnsi="Times New Roman"/>
          <w:sz w:val="24"/>
        </w:rPr>
        <w:t xml:space="preserve"> ПК-1</w:t>
      </w:r>
    </w:p>
    <w:p>
      <w:pPr>
        <w:pStyle w:val="Normal"/>
        <w:spacing w:before="0" w:after="283"/>
        <w:ind w:hanging="10" w:left="-5" w:right="2311"/>
        <w:rPr>
          <w:rFonts w:ascii="Times New Roman" w:hAnsi="Times New Roman"/>
        </w:rPr>
      </w:pPr>
      <w:r>
        <w:rPr>
          <w:rFonts w:ascii="Times New Roman" w:hAnsi="Times New Roman"/>
        </w:rPr>
        <w:t>Первичная профилактика - это: ПК-1</w:t>
      </w:r>
    </w:p>
    <w:p>
      <w:pPr>
        <w:pStyle w:val="Normal"/>
        <w:spacing w:lineRule="auto" w:line="511" w:before="0" w:after="0"/>
        <w:ind w:hanging="10" w:left="-5" w:right="2311"/>
        <w:rPr>
          <w:rFonts w:ascii="Times New Roman" w:hAnsi="Times New Roman"/>
        </w:rPr>
      </w:pPr>
      <w:r>
        <w:rPr>
          <w:rFonts w:ascii="Times New Roman" w:hAnsi="Times New Roman"/>
        </w:rPr>
        <w:t>а) комплекс мероприятий, направленных на предупреждение рождения или зачатия детей с наследственными болезнями;</w:t>
      </w:r>
    </w:p>
    <w:p>
      <w:pPr>
        <w:pStyle w:val="Normal"/>
        <w:spacing w:lineRule="auto" w:line="511" w:before="0" w:after="0"/>
        <w:ind w:hanging="10" w:left="-5" w:right="2311"/>
        <w:rPr>
          <w:rFonts w:ascii="Times New Roman" w:hAnsi="Times New Roman"/>
        </w:rPr>
      </w:pPr>
      <w:r>
        <w:rPr>
          <w:rFonts w:ascii="Times New Roman" w:hAnsi="Times New Roman"/>
        </w:rPr>
        <w:t>б) комплекс мероприятий, направленных на предотвращение развития унаследованного заболевания;</w:t>
      </w:r>
    </w:p>
    <w:p>
      <w:pPr>
        <w:pStyle w:val="Normal"/>
        <w:spacing w:before="0" w:after="283"/>
        <w:ind w:hanging="10" w:left="-5" w:right="2311"/>
        <w:rPr>
          <w:rFonts w:ascii="Times New Roman" w:hAnsi="Times New Roman"/>
        </w:rPr>
      </w:pPr>
      <w:r>
        <w:rPr>
          <w:rFonts w:ascii="Times New Roman" w:hAnsi="Times New Roman"/>
        </w:rPr>
        <w:t>16</w:t>
      </w:r>
    </w:p>
    <w:p>
      <w:pPr>
        <w:pStyle w:val="Normal"/>
        <w:spacing w:before="0" w:after="283"/>
        <w:ind w:hanging="10" w:left="-5" w:right="2311"/>
        <w:rPr>
          <w:rFonts w:ascii="Times New Roman" w:hAnsi="Times New Roman"/>
        </w:rPr>
      </w:pPr>
      <w:r>
        <w:rPr>
          <w:rFonts w:ascii="Times New Roman" w:hAnsi="Times New Roman"/>
        </w:rPr>
        <w:t>в) фенотипическая коррекция дефекта.</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32"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46"/>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before="0" w:after="317"/>
        <w:ind w:hanging="10" w:left="-5"/>
        <w:rPr>
          <w:rFonts w:ascii="Times New Roman" w:hAnsi="Times New Roman"/>
        </w:rPr>
      </w:pPr>
      <w:r>
        <w:rPr>
          <w:rFonts w:ascii="Times New Roman" w:hAnsi="Times New Roman"/>
          <w:sz w:val="24"/>
        </w:rPr>
        <w:t>Основная литература:</w:t>
      </w:r>
    </w:p>
    <w:p>
      <w:pPr>
        <w:pStyle w:val="Normal"/>
        <w:spacing w:before="0" w:after="286"/>
        <w:ind w:hanging="10" w:left="-5"/>
        <w:rPr>
          <w:rFonts w:ascii="Times New Roman" w:hAnsi="Times New Roman"/>
        </w:rPr>
      </w:pPr>
      <w:r>
        <w:rPr>
          <w:rFonts w:ascii="Times New Roman" w:hAnsi="Times New Roman"/>
          <w:sz w:val="24"/>
        </w:rPr>
        <w:t>1. Гинтер Е.К. Медицинская генетика : национальное руководство : практическое руководство / Гинтер Е.К.;  Пузырев В.П.;  Куцев С.И. - Москва : ГЭОТАР-Медиа, 2022. - 896 c. - ISBN 978-59704-6307-9., https://e-lib.unn.ru/MegaPro/UserEntry?Action=FindDocs&amp;ids=807577&amp;idb=0.</w:t>
      </w:r>
    </w:p>
    <w:p>
      <w:pPr>
        <w:pStyle w:val="Normal"/>
        <w:spacing w:before="0" w:after="317"/>
        <w:ind w:hanging="10" w:left="-5"/>
        <w:rPr>
          <w:rFonts w:ascii="Times New Roman" w:hAnsi="Times New Roman"/>
        </w:rPr>
      </w:pPr>
      <w:r>
        <w:rPr>
          <w:rFonts w:ascii="Times New Roman" w:hAnsi="Times New Roman"/>
          <w:sz w:val="24"/>
        </w:rPr>
        <w:t>Дополнительная литература:</w:t>
      </w:r>
    </w:p>
    <w:p>
      <w:pPr>
        <w:pStyle w:val="Normal"/>
        <w:spacing w:before="0" w:after="286"/>
        <w:ind w:hanging="10" w:left="-5"/>
        <w:rPr>
          <w:rFonts w:ascii="Times New Roman" w:hAnsi="Times New Roman"/>
        </w:rPr>
      </w:pPr>
      <w:r>
        <w:rPr>
          <w:rFonts w:ascii="Times New Roman" w:hAnsi="Times New Roman"/>
          <w:sz w:val="24"/>
        </w:rPr>
        <w:t>1. Биология: медицинская биология, генетика и паразитология / Пехов А.П. - Москва : ГЭОТАРМедиа, 2014., https://e-lib.unn.ru/MegaPro/UserEntry?Action=FindDocs&amp;ids=644147&amp;idb=0.</w:t>
      </w:r>
    </w:p>
    <w:p>
      <w:pPr>
        <w:pStyle w:val="Normal"/>
        <w:spacing w:before="0" w:after="317"/>
        <w:ind w:hanging="10" w:left="-5"/>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before="0" w:after="3"/>
        <w:ind w:hanging="10" w:left="-5"/>
        <w:rPr>
          <w:rFonts w:ascii="Times New Roman" w:hAnsi="Times New Roman"/>
        </w:rPr>
      </w:pPr>
      <w:r>
        <w:rPr>
          <w:rFonts w:ascii="Times New Roman" w:hAnsi="Times New Roman"/>
          <w:sz w:val="24"/>
        </w:rPr>
        <w:t>ЭБС «Юрайт». Режим доступа: https://urait.ru</w:t>
      </w:r>
    </w:p>
    <w:p>
      <w:pPr>
        <w:pStyle w:val="Normal"/>
        <w:spacing w:before="0" w:after="3"/>
        <w:ind w:hanging="10" w:left="-5"/>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before="0" w:after="3"/>
        <w:ind w:hanging="10" w:left="-5"/>
        <w:rPr>
          <w:rFonts w:ascii="Times New Roman" w:hAnsi="Times New Roman"/>
        </w:rPr>
      </w:pPr>
      <w:r>
        <w:rPr>
          <w:rFonts w:ascii="Times New Roman" w:hAnsi="Times New Roman"/>
          <w:sz w:val="24"/>
        </w:rPr>
        <w:t>ЭБС «Консультант врача» Режим доступа: www.rosmedlib.ru</w:t>
      </w:r>
    </w:p>
    <w:p>
      <w:pPr>
        <w:pStyle w:val="Normal"/>
        <w:spacing w:before="0" w:after="317"/>
        <w:ind w:hanging="10" w:left="-5" w:right="1035"/>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3" w:before="0" w:after="276"/>
        <w:ind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23" w:before="0" w:after="517"/>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before="0" w:after="717"/>
        <w:ind w:hanging="10" w:left="-5"/>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before="0" w:after="200"/>
        <w:ind w:hanging="10" w:left="-5"/>
        <w:rPr>
          <w:rFonts w:ascii="Times New Roman" w:hAnsi="Times New Roman"/>
        </w:rPr>
      </w:pPr>
      <w:r>
        <w:rPr>
          <w:rFonts w:ascii="Times New Roman" w:hAnsi="Times New Roman"/>
          <w:sz w:val="24"/>
        </w:rPr>
        <w:t xml:space="preserve">Автор(ы): </w:t>
      </w:r>
      <w:r>
        <w:rPr>
          <w:rFonts w:ascii="Times New Roman" w:hAnsi="Times New Roman"/>
          <w:sz w:val="24"/>
          <w:lang w:val="ru-RU"/>
        </w:rPr>
        <w:t>Федюшкина Ирина Викторовна</w:t>
      </w:r>
      <w:r>
        <w:rPr>
          <w:rFonts w:ascii="Times New Roman" w:hAnsi="Times New Roman"/>
          <w:sz w:val="24"/>
        </w:rPr>
        <w:t>, кандидат медицинских наук.</w:t>
      </w:r>
    </w:p>
    <w:p>
      <w:pPr>
        <w:pStyle w:val="Normal"/>
        <w:spacing w:before="0" w:after="3"/>
        <w:ind w:hanging="10" w:left="-5"/>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74"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LibreOffice/7.6.5.2$Windows_X86_64 LibreOffice_project/38d5f62f85355c192ef5f1dd47c5c0c0c6d6598b</Application>
  <AppVersion>15.0000</AppVersion>
  <DocSecurity>4</DocSecurity>
  <Pages>11</Pages>
  <Words>2090</Words>
  <Characters>15783</Characters>
  <CharactersWithSpaces>17624</CharactersWithSpaces>
  <Paragraphs>293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2025-03-28T13:36:30Z</dcterms:modified>
  <cp:revision>4</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