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lang w:val="ru-RU"/>
        </w:rPr>
      </w:pPr>
      <w:r>
        <w:rPr>
          <w:b/>
          <w:lang w:val="ru-RU"/>
        </w:rPr>
        <w:t>Неотложные состояния</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lang w:val="ru-RU"/>
        </w:rPr>
        <w:t>67</w:t>
      </w:r>
      <w:r>
        <w:rPr/>
        <w:t xml:space="preserve"> - </w:t>
      </w:r>
      <w:r>
        <w:rPr>
          <w:lang w:val="ru-RU"/>
        </w:rPr>
        <w:t>Хирургия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lang w:val="ru-RU"/>
        </w:rPr>
      </w:pPr>
      <w:r>
        <w:rPr>
          <w:lang w:val="ru-RU"/>
        </w:rPr>
        <w:t>Хирургия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1134" w:right="851" w:gutter="0" w:header="0" w:top="851" w:footer="0" w:bottom="1134"/>
          <w:pgNumType w:fmt="decimal"/>
          <w:formProt w:val="false"/>
          <w:textDirection w:val="lrTb"/>
          <w:docGrid w:type="default" w:linePitch="100" w:charSpace="0"/>
        </w:sectPr>
        <w:pStyle w:val="BodyText"/>
        <w:ind w:hanging="0" w:left="81" w:right="645"/>
        <w:jc w:val="center"/>
        <w:rPr/>
      </w:pPr>
      <w:r>
        <w:rPr>
          <w:spacing w:val="-10"/>
        </w:rPr>
        <w:t xml:space="preserve">2025  год  </w:t>
      </w:r>
      <w:r>
        <w:rPr/>
        <w:t xml:space="preserve"> </w:t>
      </w:r>
    </w:p>
    <w:p>
      <w:pPr>
        <w:pStyle w:val="Normal"/>
        <w:spacing w:before="90" w:after="0"/>
        <w:ind w:firstLine="799" w:left="235" w:right="550"/>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Медицина чрезвычайных ситуаций</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35" w:right="555"/>
        <w:jc w:val="both"/>
        <w:rPr/>
      </w:pPr>
      <w:r>
        <w:rPr>
          <w:b/>
          <w:i/>
        </w:rPr>
        <w:t xml:space="preserve">Фонд оценочных средств включает </w:t>
      </w:r>
      <w:r>
        <w:rPr/>
        <w:t>контрольные материалы для проведения текущего контроля в форме доклада-презентации по теме реферата, перечня практических навыков и промежуточной аттестации в форме вопросов и заданий к зачету и ситуационных задач. навыков</w:t>
      </w:r>
    </w:p>
    <w:p>
      <w:pPr>
        <w:pStyle w:val="BodyText"/>
        <w:rPr/>
      </w:pPr>
      <w:r>
        <w:rPr/>
      </w:r>
    </w:p>
    <w:p>
      <w:pPr>
        <w:pStyle w:val="Normal"/>
        <w:ind w:firstLine="708" w:left="235" w:right="55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Медицина чрезвычайных ситуаций</w:t>
      </w:r>
      <w:r>
        <w:rPr>
          <w:i/>
          <w:sz w:val="24"/>
        </w:rPr>
        <w:t>»</w:t>
      </w:r>
      <w:r>
        <w:rPr>
          <w:sz w:val="24"/>
        </w:rPr>
        <w:t>.</w:t>
      </w:r>
    </w:p>
    <w:p>
      <w:pPr>
        <w:pStyle w:val="BodyText"/>
        <w:rPr>
          <w:sz w:val="26"/>
        </w:rPr>
      </w:pPr>
      <w:r>
        <w:rPr>
          <w:sz w:val="26"/>
        </w:rPr>
      </w:r>
    </w:p>
    <w:p>
      <w:pPr>
        <w:pStyle w:val="BodyText"/>
        <w:rPr>
          <w:sz w:val="22"/>
        </w:rPr>
      </w:pPr>
      <w:r>
        <w:rPr>
          <w:sz w:val="22"/>
        </w:rPr>
      </w:r>
    </w:p>
    <w:p>
      <w:pPr>
        <w:pStyle w:val="Heading1"/>
        <w:numPr>
          <w:ilvl w:val="0"/>
          <w:numId w:val="1"/>
        </w:numPr>
        <w:tabs>
          <w:tab w:val="clear" w:pos="567"/>
          <w:tab w:val="left" w:pos="1056" w:leader="none"/>
        </w:tabs>
        <w:ind w:hanging="360" w:left="1056" w:right="556"/>
        <w:rPr/>
      </w:pPr>
      <w:r>
        <w:rPr/>
        <w:t>Паспорт фонда оценочных средств по дисциплине «Медицина чрезвычайных ситуаций»</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 w:leader="none"/>
                <w:tab w:val="left" w:pos="426" w:leader="none"/>
              </w:tabs>
              <w:ind w:left="1"/>
              <w:jc w:val="both"/>
              <w:rPr/>
            </w:pPr>
            <w:r>
              <w:rPr>
                <w:b/>
                <w:sz w:val="20"/>
                <w:szCs w:val="20"/>
              </w:rPr>
              <w:t>Индикатор достижения  компетенции</w:t>
            </w:r>
          </w:p>
          <w:p>
            <w:pPr>
              <w:pStyle w:val="Normal"/>
              <w:tabs>
                <w:tab w:val="clear" w:pos="567"/>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Результаты обучения</w:t>
            </w:r>
          </w:p>
          <w:p>
            <w:pPr>
              <w:pStyle w:val="Normal"/>
              <w:tabs>
                <w:tab w:val="clear" w:pos="567"/>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76" w:leader="none"/>
                <w:tab w:val="left" w:pos="426" w:leader="none"/>
              </w:tabs>
              <w:ind w:left="34"/>
              <w:rPr/>
            </w:pPr>
            <w:r>
              <w:rPr>
                <w:i/>
                <w:sz w:val="18"/>
                <w:szCs w:val="18"/>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63"/>
              <w:jc w:val="left"/>
              <w:rPr/>
            </w:pPr>
            <w:r>
              <w:rPr>
                <w:i/>
                <w:sz w:val="18"/>
                <w:szCs w:val="18"/>
              </w:rPr>
              <w:t>ОПК-10.1: Оценивает состояния пациентов и необходимость оказания неотложной медицинской помощи</w:t>
            </w:r>
          </w:p>
          <w:p>
            <w:pPr>
              <w:pStyle w:val="Style20"/>
              <w:widowControl w:val="false"/>
              <w:tabs>
                <w:tab w:val="clear" w:pos="822"/>
                <w:tab w:val="left" w:pos="426" w:leader="none"/>
              </w:tabs>
              <w:ind w:hanging="0" w:left="-63"/>
              <w:jc w:val="left"/>
              <w:rPr/>
            </w:pPr>
            <w:r>
              <w:rPr>
                <w:i/>
                <w:sz w:val="18"/>
                <w:szCs w:val="18"/>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94" w:leader="none"/>
              </w:tabs>
              <w:ind w:hanging="0" w:left="-73"/>
              <w:jc w:val="left"/>
              <w:rPr/>
            </w:pPr>
            <w:r>
              <w:rPr>
                <w:i/>
                <w:sz w:val="18"/>
                <w:szCs w:val="18"/>
              </w:rPr>
              <w:t xml:space="preserve">ОПК-10.1: </w:t>
              <w:b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br/>
            </w:r>
          </w:p>
          <w:p>
            <w:pPr>
              <w:pStyle w:val="Style20"/>
              <w:widowControl w:val="false"/>
              <w:tabs>
                <w:tab w:val="clear" w:pos="822"/>
                <w:tab w:val="left" w:pos="494" w:leader="none"/>
              </w:tabs>
              <w:ind w:hanging="0" w:left="-73"/>
              <w:jc w:val="left"/>
              <w:rPr/>
            </w:pPr>
            <w:r>
              <w:rPr>
                <w:i/>
                <w:sz w:val="18"/>
                <w:szCs w:val="18"/>
              </w:rPr>
              <w:t xml:space="preserve">ОПК-10.2: </w:t>
              <w:b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i/>
                <w:sz w:val="18"/>
                <w:szCs w:val="18"/>
              </w:rPr>
              <w:t>Реферат</w:t>
            </w:r>
          </w:p>
          <w:p>
            <w:pPr>
              <w:pStyle w:val="Style20"/>
              <w:widowControl w:val="false"/>
              <w:tabs>
                <w:tab w:val="clear" w:pos="822"/>
                <w:tab w:val="left" w:pos="426" w:leader="none"/>
              </w:tabs>
              <w:ind w:hanging="0" w:left="0"/>
              <w:jc w:val="left"/>
              <w:rPr/>
            </w:pPr>
            <w:r>
              <w:rPr>
                <w:i/>
                <w:sz w:val="18"/>
                <w:szCs w:val="18"/>
              </w:rPr>
              <w:t>Задачи</w:t>
            </w:r>
          </w:p>
          <w:p>
            <w:pPr>
              <w:pStyle w:val="Style20"/>
              <w:widowControl w:val="false"/>
              <w:tabs>
                <w:tab w:val="clear" w:pos="822"/>
                <w:tab w:val="left" w:pos="426" w:leader="none"/>
              </w:tabs>
              <w:ind w:hanging="0" w:left="0"/>
              <w:jc w:val="left"/>
              <w:rPr/>
            </w:pPr>
            <w:r>
              <w:rPr>
                <w:i/>
                <w:sz w:val="18"/>
                <w:szCs w:val="18"/>
              </w:rPr>
              <w:t>Практическое задание</w:t>
            </w:r>
          </w:p>
          <w:p>
            <w:pPr>
              <w:pStyle w:val="Style20"/>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r>
          </w:p>
          <w:p>
            <w:pPr>
              <w:pStyle w:val="Style20"/>
              <w:widowControl w:val="false"/>
              <w:tabs>
                <w:tab w:val="clear" w:pos="822"/>
                <w:tab w:val="left" w:pos="426" w:leader="none"/>
              </w:tabs>
              <w:ind w:hanging="0" w:left="0"/>
              <w:jc w:val="left"/>
              <w:rPr/>
            </w:pPr>
            <w:r>
              <w:rPr>
                <w:i/>
                <w:sz w:val="18"/>
                <w:szCs w:val="18"/>
              </w:rPr>
              <w:t>Зачёт:</w:t>
              <w:br/>
              <w:t>Контрольные вопросы</w:t>
              <w:br/>
            </w:r>
          </w:p>
          <w:p>
            <w:pPr>
              <w:pStyle w:val="Normal"/>
              <w:tabs>
                <w:tab w:val="clear" w:pos="567"/>
                <w:tab w:val="left" w:pos="1" w:leader="none"/>
                <w:tab w:val="left" w:pos="426" w:leader="none"/>
              </w:tabs>
              <w:ind w:left="1"/>
              <w:rPr>
                <w:i/>
                <w:i/>
                <w:sz w:val="18"/>
                <w:szCs w:val="18"/>
              </w:rPr>
            </w:pPr>
            <w:r>
              <w:rPr>
                <w:i/>
                <w:sz w:val="18"/>
                <w:szCs w:val="18"/>
              </w:rPr>
            </w:r>
          </w:p>
        </w:tc>
      </w:tr>
    </w:tbl>
    <w:p>
      <w:pPr>
        <w:pStyle w:val="BodyText"/>
        <w:rPr>
          <w:b/>
          <w:sz w:val="16"/>
        </w:rPr>
      </w:pPr>
      <w:r>
        <w:rPr>
          <w:b/>
          <w:sz w:val="16"/>
        </w:rPr>
      </w:r>
    </w:p>
    <w:p>
      <w:pPr>
        <w:pStyle w:val="ListParagraph"/>
        <w:numPr>
          <w:ilvl w:val="0"/>
          <w:numId w:val="1"/>
        </w:numPr>
        <w:tabs>
          <w:tab w:val="clear" w:pos="567"/>
          <w:tab w:val="left" w:pos="1056" w:leader="none"/>
        </w:tabs>
        <w:spacing w:before="90" w:after="0"/>
        <w:ind w:hanging="360" w:left="1056" w:right="1284"/>
        <w:rPr>
          <w:b/>
          <w:sz w:val="24"/>
        </w:rPr>
      </w:pPr>
      <w:r>
        <w:rPr>
          <w:b/>
          <w:sz w:val="24"/>
        </w:rPr>
        <w:t>Критерии и шкалы для интегрированной оценки уровня</w:t>
      </w:r>
      <w:r>
        <w:rPr>
          <w:b/>
          <w:spacing w:val="-29"/>
          <w:sz w:val="24"/>
        </w:rPr>
        <w:t xml:space="preserve"> </w:t>
      </w:r>
      <w:r>
        <w:rPr>
          <w:b/>
          <w:sz w:val="24"/>
        </w:rPr>
        <w:t>сформированности компетенций:</w:t>
      </w:r>
    </w:p>
    <w:p>
      <w:pPr>
        <w:pStyle w:val="BodyText"/>
        <w:rPr>
          <w:b/>
        </w:rPr>
      </w:pPr>
      <w:r>
        <w:rPr>
          <w:b/>
        </w:rPr>
      </w:r>
    </w:p>
    <w:tbl>
      <w:tblPr>
        <w:tblStyle w:val="TableNormal"/>
        <w:tblW w:w="9816"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1689"/>
        <w:gridCol w:w="1956"/>
        <w:gridCol w:w="1960"/>
        <w:gridCol w:w="2181"/>
        <w:gridCol w:w="2030"/>
      </w:tblGrid>
      <w:tr>
        <w:trPr>
          <w:trHeight w:val="184" w:hRule="atLeast"/>
        </w:trPr>
        <w:tc>
          <w:tcPr>
            <w:tcW w:w="168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20"/>
              </w:rPr>
            </w:pPr>
            <w:r>
              <w:rPr>
                <w:b/>
                <w:sz w:val="20"/>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12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не зачтено</w:t>
            </w:r>
          </w:p>
        </w:tc>
        <w:tc>
          <w:tcPr>
            <w:tcW w:w="61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зачтено</w:t>
            </w:r>
          </w:p>
        </w:tc>
      </w:tr>
      <w:tr>
        <w:trPr>
          <w:trHeight w:val="365"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78"/>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56" w:right="243"/>
              <w:jc w:val="center"/>
              <w:rPr>
                <w:b/>
                <w:sz w:val="16"/>
              </w:rPr>
            </w:pPr>
            <w:r>
              <w:rPr>
                <w:b/>
                <w:kern w:val="0"/>
                <w:sz w:val="16"/>
                <w:szCs w:val="22"/>
                <w:lang w:eastAsia="en-US" w:bidi="ar-SA"/>
              </w:rPr>
              <w:t>удовлетворительно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4"/>
              <w:jc w:val="center"/>
              <w:rPr>
                <w:b/>
                <w:sz w:val="16"/>
              </w:rPr>
            </w:pPr>
            <w:r>
              <w:rPr>
                <w:b/>
                <w:kern w:val="0"/>
                <w:sz w:val="16"/>
                <w:szCs w:val="22"/>
                <w:lang w:eastAsia="en-US" w:bidi="ar-SA"/>
              </w:rPr>
              <w:t>хорошо</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8" w:right="605"/>
              <w:jc w:val="center"/>
              <w:rPr>
                <w:b/>
                <w:sz w:val="16"/>
              </w:rPr>
            </w:pPr>
            <w:r>
              <w:rPr>
                <w:b/>
                <w:kern w:val="0"/>
                <w:sz w:val="16"/>
                <w:szCs w:val="22"/>
                <w:lang w:eastAsia="en-US" w:bidi="ar-SA"/>
              </w:rPr>
              <w:t>отлично</w:t>
            </w:r>
          </w:p>
        </w:tc>
      </w:tr>
      <w:tr>
        <w:trPr>
          <w:trHeight w:val="165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13" w:after="0"/>
              <w:jc w:val="left"/>
              <w:rPr>
                <w:b/>
                <w:sz w:val="16"/>
              </w:rPr>
            </w:pPr>
            <w:r>
              <w:rPr>
                <w:b/>
                <w:kern w:val="0"/>
                <w:sz w:val="16"/>
                <w:szCs w:val="22"/>
                <w:lang w:eastAsia="en-US" w:bidi="ar-SA"/>
              </w:rPr>
              <w:t>Полнота знаний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98" w:leader="none"/>
              </w:tabs>
              <w:spacing w:before="0" w:after="0"/>
              <w:ind w:left="110" w:right="94"/>
              <w:jc w:val="left"/>
              <w:rPr>
                <w:sz w:val="16"/>
              </w:rPr>
            </w:pPr>
            <w:r>
              <w:rPr>
                <w:kern w:val="0"/>
                <w:sz w:val="16"/>
                <w:szCs w:val="22"/>
                <w:lang w:eastAsia="en-US" w:bidi="ar-SA"/>
              </w:rPr>
              <w:t xml:space="preserve">Уровень знаний </w:t>
            </w:r>
            <w:r>
              <w:rPr>
                <w:spacing w:val="-4"/>
                <w:kern w:val="0"/>
                <w:sz w:val="16"/>
                <w:szCs w:val="22"/>
                <w:lang w:eastAsia="en-US" w:bidi="ar-SA"/>
              </w:rPr>
              <w:t xml:space="preserve">ниже </w:t>
            </w:r>
            <w:r>
              <w:rPr>
                <w:kern w:val="0"/>
                <w:sz w:val="16"/>
                <w:szCs w:val="22"/>
                <w:lang w:eastAsia="en-US" w:bidi="ar-SA"/>
              </w:rPr>
              <w:t>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08" w:leader="none"/>
              </w:tabs>
              <w:spacing w:before="0" w:after="0"/>
              <w:ind w:left="110" w:right="94"/>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567"/>
                <w:tab w:val="left" w:pos="1376" w:leader="none"/>
              </w:tabs>
              <w:spacing w:before="0" w:after="0"/>
              <w:ind w:left="110"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09"/>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Наличие умений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17"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27" w:leader="none"/>
              </w:tabs>
              <w:spacing w:before="0" w:after="0"/>
              <w:ind w:left="110" w:right="93"/>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Выполнены все задания, в полном объеме, но некоторые с</w:t>
            </w:r>
            <w:r>
              <w:rPr>
                <w:spacing w:val="-4"/>
                <w:kern w:val="0"/>
                <w:sz w:val="16"/>
                <w:szCs w:val="22"/>
                <w:lang w:eastAsia="en-US" w:bidi="ar-SA"/>
              </w:rPr>
              <w:t xml:space="preserve"> </w:t>
            </w:r>
            <w:r>
              <w:rPr>
                <w:kern w:val="0"/>
                <w:sz w:val="16"/>
                <w:szCs w:val="22"/>
                <w:lang w:eastAsia="en-US" w:bidi="ar-SA"/>
              </w:rPr>
              <w:t>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870" w:leader="none"/>
              </w:tabs>
              <w:spacing w:before="0" w:after="0"/>
              <w:ind w:left="110" w:right="94"/>
              <w:jc w:val="left"/>
              <w:rPr>
                <w:sz w:val="16"/>
              </w:rPr>
            </w:pPr>
            <w:r>
              <w:rPr>
                <w:kern w:val="0"/>
                <w:sz w:val="16"/>
                <w:szCs w:val="22"/>
                <w:lang w:eastAsia="en-US" w:bidi="ar-SA"/>
              </w:rPr>
              <w:t>Продемонстрированы</w:t>
              <w:tab/>
            </w:r>
            <w:r>
              <w:rPr>
                <w:spacing w:val="-7"/>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4"/>
                <w:kern w:val="0"/>
                <w:sz w:val="16"/>
                <w:szCs w:val="22"/>
                <w:lang w:eastAsia="en-US" w:bidi="ar-SA"/>
              </w:rPr>
              <w:t xml:space="preserve"> </w:t>
            </w:r>
            <w:r>
              <w:rPr>
                <w:kern w:val="0"/>
                <w:sz w:val="16"/>
                <w:szCs w:val="22"/>
                <w:lang w:eastAsia="en-US" w:bidi="ar-SA"/>
              </w:rPr>
              <w:t>объеме.</w:t>
            </w:r>
          </w:p>
        </w:tc>
      </w:tr>
      <w:tr>
        <w:trPr>
          <w:trHeight w:val="1826"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07" w:after="0"/>
              <w:jc w:val="left"/>
              <w:rPr>
                <w:b/>
                <w:sz w:val="16"/>
              </w:rPr>
            </w:pPr>
            <w:r>
              <w:rPr>
                <w:b/>
                <w:kern w:val="0"/>
                <w:sz w:val="16"/>
                <w:szCs w:val="22"/>
                <w:lang w:eastAsia="en-US" w:bidi="ar-SA"/>
              </w:rPr>
              <w:t>Наличие навыков (владение опытом)</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711" w:leader="none"/>
                <w:tab w:val="left" w:pos="777" w:leader="none"/>
                <w:tab w:val="left" w:pos="981" w:leader="none"/>
                <w:tab w:val="left" w:pos="1014" w:leader="none"/>
                <w:tab w:val="left" w:pos="1618"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5"/>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10" w:right="93"/>
              <w:jc w:val="both"/>
              <w:rPr>
                <w:sz w:val="16"/>
              </w:rPr>
            </w:pPr>
            <w:r>
              <w:rPr>
                <w:kern w:val="0"/>
                <w:sz w:val="16"/>
                <w:szCs w:val="22"/>
                <w:lang w:eastAsia="en-US" w:bidi="ar-SA"/>
              </w:rPr>
              <w:t>при решении стандартных задач с некоторыми 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2"/>
              <w:jc w:val="left"/>
              <w:rPr>
                <w:sz w:val="16"/>
              </w:rPr>
            </w:pPr>
            <w:r>
              <w:rPr>
                <w:kern w:val="0"/>
                <w:sz w:val="16"/>
                <w:szCs w:val="22"/>
                <w:lang w:eastAsia="en-US" w:bidi="ar-SA"/>
              </w:rPr>
              <w:t>Продемонстрированы навыки</w:t>
            </w:r>
          </w:p>
          <w:p>
            <w:pPr>
              <w:pStyle w:val="TableParagraph"/>
              <w:widowControl w:val="false"/>
              <w:spacing w:before="0" w:after="0"/>
              <w:ind w:left="110" w:right="94"/>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Характеристика сформированности компетенции</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3"/>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567"/>
                <w:tab w:val="left" w:pos="917" w:leader="none"/>
                <w:tab w:val="left" w:pos="1157" w:leader="none"/>
                <w:tab w:val="left" w:pos="1279" w:leader="none"/>
                <w:tab w:val="left" w:pos="1617" w:leader="none"/>
              </w:tabs>
              <w:spacing w:before="0" w:after="0"/>
              <w:ind w:left="110" w:right="93"/>
              <w:jc w:val="left"/>
              <w:rPr>
                <w:sz w:val="16"/>
              </w:rPr>
            </w:pPr>
            <w:r>
              <w:rPr>
                <w:kern w:val="0"/>
                <w:sz w:val="16"/>
                <w:szCs w:val="22"/>
                <w:lang w:eastAsia="en-US" w:bidi="ar-SA"/>
              </w:rPr>
              <w:t>умений,</w:t>
              <w:tab/>
              <w:tab/>
              <w:tab/>
            </w:r>
            <w:r>
              <w:rPr>
                <w:spacing w:val="-4"/>
                <w:kern w:val="0"/>
                <w:sz w:val="16"/>
                <w:szCs w:val="22"/>
                <w:lang w:eastAsia="en-US" w:bidi="ar-SA"/>
              </w:rPr>
              <w:t xml:space="preserve">навыков </w:t>
            </w:r>
            <w:r>
              <w:rPr>
                <w:kern w:val="0"/>
                <w:sz w:val="16"/>
                <w:szCs w:val="22"/>
                <w:lang w:eastAsia="en-US" w:bidi="ar-SA"/>
              </w:rPr>
              <w:t>недостаточно</w:t>
              <w:tab/>
              <w:tab/>
              <w:tab/>
            </w:r>
            <w:r>
              <w:rPr>
                <w:spacing w:val="-6"/>
                <w:kern w:val="0"/>
                <w:sz w:val="16"/>
                <w:szCs w:val="22"/>
                <w:lang w:eastAsia="en-US" w:bidi="ar-SA"/>
              </w:rPr>
              <w:t xml:space="preserve">для </w:t>
            </w:r>
            <w:r>
              <w:rPr>
                <w:kern w:val="0"/>
                <w:sz w:val="16"/>
                <w:szCs w:val="22"/>
                <w:lang w:eastAsia="en-US" w:bidi="ar-SA"/>
              </w:rPr>
              <w:t>решения</w:t>
              <w:tab/>
            </w:r>
            <w:r>
              <w:rPr>
                <w:spacing w:val="-1"/>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91"/>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567"/>
                <w:tab w:val="left" w:pos="769" w:leader="none"/>
                <w:tab w:val="left" w:pos="1187" w:leader="none"/>
                <w:tab w:val="left" w:pos="1337" w:leader="none"/>
                <w:tab w:val="left" w:pos="1689"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7"/>
              <w:jc w:val="left"/>
              <w:rPr>
                <w:sz w:val="16"/>
              </w:rPr>
            </w:pPr>
            <w:r>
              <w:rPr>
                <w:kern w:val="0"/>
                <w:sz w:val="16"/>
                <w:szCs w:val="22"/>
                <w:lang w:eastAsia="en-US" w:bidi="ar-SA"/>
              </w:rPr>
              <w:t>большинству практических задач.</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687" w:leader="none"/>
                <w:tab w:val="left" w:pos="1293" w:leader="none"/>
                <w:tab w:val="left" w:pos="1385" w:leader="none"/>
                <w:tab w:val="left" w:pos="1654" w:leader="none"/>
              </w:tabs>
              <w:spacing w:before="0" w:after="0"/>
              <w:ind w:left="110" w:right="93"/>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567"/>
                <w:tab w:val="left" w:pos="1035" w:leader="none"/>
                <w:tab w:val="left" w:pos="1215" w:leader="none"/>
                <w:tab w:val="left" w:pos="1405" w:leader="none"/>
                <w:tab w:val="left" w:pos="1555" w:leader="none"/>
                <w:tab w:val="left" w:pos="1652" w:leader="none"/>
                <w:tab w:val="left" w:pos="1984" w:leader="none"/>
              </w:tabs>
              <w:spacing w:before="0" w:after="0"/>
              <w:ind w:left="110" w:right="93"/>
              <w:jc w:val="left"/>
              <w:rPr>
                <w:sz w:val="16"/>
              </w:rPr>
            </w:pPr>
            <w:r>
              <w:rPr>
                <w:kern w:val="0"/>
                <w:sz w:val="16"/>
                <w:szCs w:val="22"/>
                <w:lang w:eastAsia="en-US" w:bidi="ar-SA"/>
              </w:rPr>
              <w:t>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tab/>
            </w:r>
            <w:r>
              <w:rPr>
                <w:spacing w:val="-15"/>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567"/>
                <w:tab w:val="left" w:pos="1319" w:leader="none"/>
                <w:tab w:val="left" w:pos="1452" w:leader="none"/>
              </w:tabs>
              <w:spacing w:before="0" w:after="0"/>
              <w:ind w:left="110" w:right="93"/>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043" w:leader="none"/>
                <w:tab w:val="left" w:pos="1153" w:leader="none"/>
                <w:tab w:val="left" w:pos="1343" w:leader="none"/>
                <w:tab w:val="left" w:pos="1571" w:leader="none"/>
                <w:tab w:val="left" w:pos="2000" w:leader="none"/>
              </w:tabs>
              <w:spacing w:before="0" w:after="0"/>
              <w:ind w:left="110" w:right="93"/>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r>
            <w:r>
              <w:rPr>
                <w:spacing w:val="-15"/>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1"/>
                <w:kern w:val="0"/>
                <w:sz w:val="16"/>
                <w:szCs w:val="22"/>
                <w:lang w:eastAsia="en-US" w:bidi="ar-SA"/>
              </w:rPr>
              <w:t xml:space="preserve">практических </w:t>
            </w:r>
            <w:r>
              <w:rPr>
                <w:kern w:val="0"/>
                <w:sz w:val="16"/>
                <w:szCs w:val="22"/>
                <w:lang w:eastAsia="en-US" w:bidi="ar-SA"/>
              </w:rPr>
              <w:t>(профессиональных)</w:t>
            </w:r>
            <w:r>
              <w:rPr>
                <w:spacing w:val="-3"/>
                <w:kern w:val="0"/>
                <w:sz w:val="16"/>
                <w:szCs w:val="22"/>
                <w:lang w:eastAsia="en-US" w:bidi="ar-SA"/>
              </w:rPr>
              <w:t xml:space="preserve"> </w:t>
            </w:r>
            <w:r>
              <w:rPr>
                <w:kern w:val="0"/>
                <w:sz w:val="16"/>
                <w:szCs w:val="22"/>
                <w:lang w:eastAsia="en-US" w:bidi="ar-SA"/>
              </w:rPr>
              <w:t>задач.</w:t>
            </w:r>
          </w:p>
        </w:tc>
      </w:tr>
      <w:tr>
        <w:trPr>
          <w:trHeight w:val="90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0"/>
              <w:jc w:val="left"/>
              <w:rPr>
                <w:b/>
                <w:sz w:val="15"/>
              </w:rPr>
            </w:pPr>
            <w:r>
              <w:rPr>
                <w:b/>
                <w:sz w:val="15"/>
              </w:rPr>
            </w:r>
          </w:p>
          <w:p>
            <w:pPr>
              <w:pStyle w:val="TableParagraph"/>
              <w:widowControl w:val="false"/>
              <w:spacing w:before="0" w:after="0"/>
              <w:jc w:val="left"/>
              <w:rPr>
                <w:b/>
                <w:sz w:val="16"/>
              </w:rPr>
            </w:pPr>
            <w:r>
              <w:rPr>
                <w:b/>
                <w:kern w:val="0"/>
                <w:sz w:val="16"/>
                <w:szCs w:val="22"/>
                <w:lang w:eastAsia="en-US" w:bidi="ar-SA"/>
              </w:rPr>
              <w:t>Уровень сформированности компетенций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1" w:right="638"/>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256" w:right="242"/>
              <w:jc w:val="center"/>
              <w:rPr>
                <w:sz w:val="18"/>
              </w:rPr>
            </w:pPr>
            <w:r>
              <w:rPr>
                <w:kern w:val="0"/>
                <w:sz w:val="18"/>
                <w:szCs w:val="22"/>
                <w:lang w:eastAsia="en-US" w:bidi="ar-SA"/>
              </w:rPr>
              <w:t>Ниже среднего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7" w:right="714"/>
              <w:jc w:val="center"/>
              <w:rPr>
                <w:sz w:val="18"/>
              </w:rPr>
            </w:pPr>
            <w:r>
              <w:rPr>
                <w:kern w:val="0"/>
                <w:sz w:val="18"/>
                <w:szCs w:val="22"/>
                <w:lang w:eastAsia="en-US" w:bidi="ar-SA"/>
              </w:rPr>
              <w:t>Средний</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8" w:right="605"/>
              <w:jc w:val="center"/>
              <w:rPr>
                <w:sz w:val="18"/>
              </w:rPr>
            </w:pPr>
            <w:r>
              <w:rPr>
                <w:kern w:val="0"/>
                <w:sz w:val="18"/>
                <w:szCs w:val="22"/>
                <w:lang w:eastAsia="en-US" w:bidi="ar-SA"/>
              </w:rPr>
              <w:t>Высокий</w:t>
            </w:r>
          </w:p>
        </w:tc>
      </w:tr>
      <w:tr>
        <w:trPr>
          <w:trHeight w:val="123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66"/>
              <w:jc w:val="left"/>
              <w:rPr>
                <w:sz w:val="18"/>
              </w:rPr>
            </w:pPr>
            <w:r>
              <w:rPr>
                <w:kern w:val="0"/>
                <w:sz w:val="18"/>
                <w:szCs w:val="22"/>
                <w:lang w:eastAsia="en-US" w:bidi="ar-SA"/>
              </w:rPr>
              <w:t>Шкала оценок по проценту правильно выполненных заданий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1"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256" w:right="242"/>
              <w:jc w:val="center"/>
              <w:rPr>
                <w:sz w:val="20"/>
              </w:rPr>
            </w:pPr>
            <w:r>
              <w:rPr>
                <w:kern w:val="0"/>
                <w:sz w:val="20"/>
                <w:szCs w:val="22"/>
                <w:lang w:eastAsia="en-US" w:bidi="ar-SA"/>
              </w:rPr>
              <w:t>51 – 70 %</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4"/>
              <w:jc w:val="center"/>
              <w:rPr>
                <w:sz w:val="20"/>
              </w:rPr>
            </w:pPr>
            <w:r>
              <w:rPr>
                <w:kern w:val="0"/>
                <w:sz w:val="20"/>
                <w:szCs w:val="22"/>
                <w:lang w:eastAsia="en-US" w:bidi="ar-SA"/>
              </w:rPr>
              <w:t>71-90 %</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21" w:right="605"/>
              <w:jc w:val="center"/>
              <w:rPr>
                <w:sz w:val="20"/>
              </w:rPr>
            </w:pPr>
            <w:r>
              <w:rPr>
                <w:kern w:val="0"/>
                <w:sz w:val="20"/>
                <w:szCs w:val="22"/>
                <w:lang w:eastAsia="en-US" w:bidi="ar-SA"/>
              </w:rPr>
              <w:t>91 – 100 %</w:t>
            </w:r>
          </w:p>
        </w:tc>
      </w:tr>
    </w:tbl>
    <w:p>
      <w:pPr>
        <w:pStyle w:val="ListParagraph"/>
        <w:numPr>
          <w:ilvl w:val="0"/>
          <w:numId w:val="0"/>
        </w:numPr>
        <w:tabs>
          <w:tab w:val="clear" w:pos="567"/>
          <w:tab w:val="left" w:pos="944" w:leader="none"/>
        </w:tabs>
        <w:spacing w:before="90" w:after="0"/>
        <w:ind w:hanging="0" w:left="661" w:right="555"/>
        <w:rPr>
          <w:b/>
          <w:sz w:val="24"/>
        </w:rPr>
      </w:pPr>
      <w:r>
        <w:rPr>
          <w:b/>
          <w:sz w:val="24"/>
        </w:rPr>
      </w:r>
    </w:p>
    <w:p>
      <w:pPr>
        <w:pStyle w:val="BodyText"/>
        <w:rPr>
          <w:b/>
          <w:sz w:val="20"/>
        </w:rPr>
      </w:pPr>
      <w:r>
        <w:rPr>
          <w:b/>
          <w:sz w:val="20"/>
        </w:rPr>
      </w:r>
    </w:p>
    <w:p>
      <w:pPr>
        <w:pStyle w:val="Normal"/>
        <w:jc w:val="center"/>
        <w:rPr>
          <w:rFonts w:ascii="Times New Roman" w:hAnsi="Times New Roman" w:cs="Times New Roman"/>
          <w:b/>
        </w:rPr>
      </w:pPr>
      <w:r>
        <w:rPr>
          <w:rFonts w:cs="Times New Roman" w:ascii="Times New Roman" w:hAnsi="Times New Roman"/>
          <w:b/>
        </w:rPr>
        <w:t>КОНТРОЛЬНЫЕ ЗАДАНИЯ И ИНЫЕ МАТЕРИАЛЫ ОЦЕНКИ ПРОМЕЖУТОЧНОЙ АТТЕСТАЦИИ</w:t>
      </w:r>
    </w:p>
    <w:p>
      <w:pPr>
        <w:pStyle w:val="Normal"/>
        <w:jc w:val="center"/>
        <w:rPr>
          <w:rFonts w:ascii="Times New Roman" w:hAnsi="Times New Roman" w:cs="Times New Roman"/>
          <w:b/>
        </w:rPr>
      </w:pPr>
      <w:r>
        <w:rPr>
          <w:rFonts w:cs="Times New Roman" w:ascii="Times New Roman" w:hAnsi="Times New Roman"/>
          <w:b/>
        </w:rPr>
        <w:t>знаний, умений, навыков и (или) опыта деятельности, характеризующие этапы формирования компетенций в процессе освоения</w:t>
      </w:r>
    </w:p>
    <w:p>
      <w:pPr>
        <w:pStyle w:val="Normal"/>
        <w:tabs>
          <w:tab w:val="clear" w:pos="567"/>
          <w:tab w:val="left" w:pos="1365" w:leader="none"/>
        </w:tabs>
        <w:spacing w:lineRule="exact" w:line="320" w:before="5" w:after="0"/>
        <w:ind w:left="48"/>
        <w:jc w:val="center"/>
        <w:rPr>
          <w:rFonts w:ascii="Times New Roman" w:hAnsi="Times New Roman" w:cs="Times New Roman"/>
          <w:b/>
        </w:rPr>
      </w:pPr>
      <w:r>
        <w:rPr>
          <w:rFonts w:cs="Times New Roman" w:ascii="Times New Roman" w:hAnsi="Times New Roman"/>
          <w:b/>
        </w:rPr>
        <w:t xml:space="preserve">дисциплины по выбору </w:t>
      </w:r>
      <w:r>
        <w:rPr>
          <w:rFonts w:ascii="Times New Roman" w:hAnsi="Times New Roman"/>
          <w:b/>
          <w:u w:val="single"/>
        </w:rPr>
        <w:t xml:space="preserve">Б1.О.03 </w:t>
      </w:r>
      <w:r>
        <w:rPr>
          <w:rFonts w:cs="Times New Roman" w:ascii="Times New Roman" w:hAnsi="Times New Roman"/>
          <w:b/>
          <w:u w:val="single"/>
        </w:rPr>
        <w:t>- «Неотложные состояния»</w:t>
      </w:r>
    </w:p>
    <w:p>
      <w:pPr>
        <w:pStyle w:val="Normal"/>
        <w:tabs>
          <w:tab w:val="clear" w:pos="567"/>
          <w:tab w:val="left" w:pos="1365" w:leader="none"/>
        </w:tabs>
        <w:spacing w:lineRule="exact" w:line="320" w:before="5" w:after="0"/>
        <w:ind w:left="48"/>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Перечень вопросов к зачету</w:t>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по дисциплине «неотложные состояния»</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671"/>
        <w:gridCol w:w="5993"/>
        <w:gridCol w:w="3260"/>
      </w:tblGrid>
      <w:tr>
        <w:trPr/>
        <w:tc>
          <w:tcPr>
            <w:tcW w:w="671" w:type="dxa"/>
            <w:tcBorders/>
          </w:tcPr>
          <w:p>
            <w:pPr>
              <w:pStyle w:val="Normal"/>
              <w:widowControl/>
              <w:spacing w:before="0" w:after="0"/>
              <w:jc w:val="left"/>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5993"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Вопрос</w:t>
            </w:r>
          </w:p>
        </w:tc>
        <w:tc>
          <w:tcPr>
            <w:tcW w:w="3260"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(оценка сформированности компонента «знать»)</w:t>
            </w:r>
          </w:p>
        </w:tc>
      </w:tr>
      <w:tr>
        <w:trPr/>
        <w:tc>
          <w:tcPr>
            <w:tcW w:w="671" w:type="dxa"/>
            <w:tcBorders/>
          </w:tcPr>
          <w:p>
            <w:pPr>
              <w:pStyle w:val="ListParagraph"/>
              <w:numPr>
                <w:ilvl w:val="0"/>
                <w:numId w:val="74"/>
              </w:numPr>
              <w:spacing w:before="0" w:after="0"/>
              <w:jc w:val="left"/>
              <w:rPr>
                <w:sz w:val="24"/>
                <w:szCs w:val="24"/>
                <w:lang w:val="ru-RU"/>
              </w:rPr>
            </w:pPr>
            <w:r>
              <w:rPr>
                <w:sz w:val="24"/>
                <w:szCs w:val="24"/>
                <w:lang w:val="ru-RU"/>
              </w:rPr>
            </w:r>
          </w:p>
        </w:tc>
        <w:tc>
          <w:tcPr>
            <w:tcW w:w="5993" w:type="dxa"/>
            <w:tcBorders/>
          </w:tcPr>
          <w:p>
            <w:pPr>
              <w:pStyle w:val="Default"/>
              <w:widowControl/>
              <w:tabs>
                <w:tab w:val="clear" w:pos="567"/>
                <w:tab w:val="left" w:pos="426" w:leader="none"/>
                <w:tab w:val="left" w:pos="851" w:leader="none"/>
              </w:tabs>
              <w:suppressAutoHyphens w:val="true"/>
              <w:spacing w:before="0" w:after="0"/>
              <w:jc w:val="left"/>
              <w:rPr>
                <w:bCs/>
                <w:color w:val="auto"/>
              </w:rPr>
            </w:pPr>
            <w:r>
              <w:rPr>
                <w:rFonts w:eastAsia="Calibri"/>
                <w:color w:val="auto"/>
                <w:kern w:val="0"/>
                <w:sz w:val="24"/>
                <w:szCs w:val="24"/>
                <w:lang w:val="ru-RU" w:eastAsia="en-US" w:bidi="ar-SA"/>
              </w:rPr>
              <w:t>Базовый комплекс сердечно-легочной и церебральной реанимации. Последовательность основных реанимационных мероприятий.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5"/>
              </w:numPr>
              <w:spacing w:before="0" w:after="0"/>
              <w:jc w:val="left"/>
              <w:rPr>
                <w:bCs/>
                <w:sz w:val="24"/>
                <w:szCs w:val="24"/>
                <w:lang w:val="ru-RU"/>
              </w:rPr>
            </w:pPr>
            <w:r>
              <w:rPr>
                <w:bCs/>
                <w:sz w:val="24"/>
                <w:szCs w:val="24"/>
                <w:lang w:val="ru-RU"/>
              </w:rPr>
            </w:r>
          </w:p>
        </w:tc>
        <w:tc>
          <w:tcPr>
            <w:tcW w:w="5993" w:type="dxa"/>
            <w:tcBorders/>
          </w:tcPr>
          <w:p>
            <w:pPr>
              <w:pStyle w:val="21"/>
              <w:spacing w:lineRule="auto" w:line="240" w:before="0" w:after="0"/>
              <w:ind w:firstLine="34"/>
              <w:jc w:val="left"/>
              <w:rPr>
                <w:bCs/>
                <w:sz w:val="24"/>
                <w:szCs w:val="24"/>
              </w:rPr>
            </w:pPr>
            <w:r>
              <w:rPr>
                <w:kern w:val="0"/>
                <w:sz w:val="24"/>
                <w:szCs w:val="24"/>
                <w:lang w:val="ru-RU" w:eastAsia="en-US" w:bidi="ar-SA"/>
              </w:rPr>
              <w:t>Расширенный комплекс сердечно-легочной реанимации.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сердечно-сосудистой системы и сопутствующих заболеваниях сердца и сосудов.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острого инфаркта миокарда.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мочевыделительной системы и сопутствующих заболеваниях почек.</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при патологии нервной системы и сопутствующих нервных и психических заболеваниях</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эндокринологии и при сопутствующих заболеваниях эндокринной системы.</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в травматологии и ортопедии. Острая дыхательная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жизнеугрожающих нарушений ритма.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Интенсивная терапия артериальной гипертензии.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острой сосудистой недостаточности. Особенности интенсивной терапии клинических форм шока.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8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Экстренная 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eastAsia="MS Mincho" w:cs="Times New Roman"/>
                <w:lang w:eastAsia="ja-JP"/>
              </w:rPr>
            </w:pPr>
            <w:r>
              <w:rPr>
                <w:rFonts w:eastAsia="MS Mincho" w:cs="Times New Roman" w:ascii="Times New Roman" w:hAnsi="Times New Roman"/>
                <w:kern w:val="0"/>
                <w:sz w:val="24"/>
                <w:szCs w:val="24"/>
                <w:lang w:val="ru-RU" w:eastAsia="ja-JP" w:bidi="ar-SA"/>
              </w:rPr>
              <w:t>Острое нарушение мозгового кровообращения. Классификация, механизм развития,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Острая почечная и печеночная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дыхательной системы и сопутствующих заболеваниях легких.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Системная воспалительная реакция организма, патофизиология, клиника, диагностика.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Внутрибольничная инфекция, принципы интенсивной терапии, патофизиология, клиника, диагностика, интенсивная терапия сепсиса.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Критические состояния в клинике инфекционных болезней. Принципы и методы коррекции нарушений гомеостаза организма при тяжелых инфекционных заболеваниях. Лихорадка при различных клинических состояниях. Антипиретики. Инфекционные лихорадки. Неинфекционные лихорадки. Алгоритм диагностического поиска при лихорадке неясного генеза.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Менингококковая инфекция. Клиника, диагностика, интенсивная терапия. Энцефалиты.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Дифтерия. Столбняк. Ботулизм.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Инфекционные гепатит. Этиология, патогенез, классификация,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Бактериальный септический эндокардит.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Тяжелые бактериальные и вирусные пневмонии, плевриты, абсцесс легкого.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(чума).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(холера).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(сибирская язва).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(геморрагические лихорадки).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Синдром приобретенного иммунодефицита. Клиника, принципы терапии, профилактика.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ru-RU" w:bidi="ar-SA"/>
              </w:rPr>
              <w:t>Экзогенные интоксикации. Острые отравления седативными и снотворными препаратами, алкоголем и его суррогатами, препаратами бытовой химии, солями тяжелых металлов, ФОС, растительными ядами, прижигающими ядами, хлорированными  углеводородами, СО, при укусе змей и насекомых.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Методы активной детоксикации организма при острых отравлениях.</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ядами животного и растительного происхождения.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солями тяжелых металлов и мышьяка.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Общие принципы интенсивной терапии острых отравлений. Антидотная, патогенетическая и симптоматическая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в гинекологии.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при лапароскопии, в т. ч. во время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малых сроках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bCs/>
                <w:kern w:val="0"/>
                <w:sz w:val="24"/>
                <w:szCs w:val="24"/>
                <w:lang w:val="ru-RU" w:eastAsia="en-US" w:bidi="ar-SA"/>
              </w:rPr>
              <w:t>Анестезия при неакушерских операциях во время беременности (острый живот).</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Анафилактический шок в гинекологии. Реанимационные мероприятия.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анестезии в педиатрии.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проведения сердечно-легочной реанимации у детей и новорожденных.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Респираторная поддержка у детей.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экстренном кесаревом сечении.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8"/>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Организация анестезиолого - реанимационной службы.</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Приказ МЗ № 919 –н.</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Calibri" w:cs="Times New Roman" w:ascii="Times New Roman" w:hAnsi="Times New Roman"/>
                <w:kern w:val="0"/>
                <w:sz w:val="24"/>
                <w:szCs w:val="24"/>
                <w:lang w:val="ru-RU" w:eastAsia="en-US" w:bidi="ar-SA"/>
              </w:rPr>
              <w:t>Профессиональные вредности в работе анестезиолога – реаниматолога.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1"/>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эмболии околоплодными водами.</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bl>
    <w:p>
      <w:pPr>
        <w:pStyle w:val="Normal"/>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Heading4"/>
        <w:spacing w:lineRule="exact" w:line="319"/>
        <w:ind w:left="756"/>
        <w:rPr>
          <w:sz w:val="24"/>
          <w:szCs w:val="24"/>
          <w:lang w:val="ru-RU"/>
        </w:rPr>
      </w:pPr>
      <w:r>
        <w:rPr>
          <w:sz w:val="24"/>
          <w:szCs w:val="24"/>
          <w:lang w:val="ru-RU"/>
        </w:rPr>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u w:val="single"/>
        </w:rPr>
        <w:t>П</w:t>
      </w:r>
      <w:r>
        <w:rPr>
          <w:rFonts w:cs="Times New Roman" w:ascii="Times New Roman" w:hAnsi="Times New Roman"/>
          <w:b/>
          <w:bCs/>
          <w:sz w:val="22"/>
          <w:szCs w:val="22"/>
          <w:u w:val="single"/>
        </w:rPr>
        <w:t>е</w:t>
      </w:r>
      <w:r>
        <w:rPr>
          <w:rFonts w:cs="Times New Roman" w:ascii="Times New Roman" w:hAnsi="Times New Roman"/>
          <w:b/>
          <w:bCs/>
          <w:color w:val="000000"/>
          <w:sz w:val="22"/>
          <w:szCs w:val="22"/>
          <w:u w:val="single"/>
        </w:rPr>
        <w:t>речень контрольных вопросов к зачету</w:t>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bCs/>
          <w:color w:val="000000"/>
          <w:sz w:val="22"/>
          <w:szCs w:val="22"/>
          <w:u w:val="single"/>
        </w:rPr>
        <w:t>по дисциплине «Неотложные состояния</w:t>
      </w:r>
      <w:bookmarkStart w:id="0" w:name="_GoBack"/>
      <w:bookmarkEnd w:id="0"/>
      <w:r>
        <w:rPr>
          <w:rFonts w:cs="Times New Roman" w:ascii="Times New Roman" w:hAnsi="Times New Roman"/>
          <w:b/>
          <w:bCs/>
          <w:color w:val="000000"/>
          <w:sz w:val="22"/>
          <w:szCs w:val="22"/>
          <w:u w:val="single"/>
        </w:rPr>
        <w:t>»</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813"/>
        <w:gridCol w:w="6133"/>
        <w:gridCol w:w="2978"/>
      </w:tblGrid>
      <w:tr>
        <w:trPr/>
        <w:tc>
          <w:tcPr>
            <w:tcW w:w="813" w:type="dxa"/>
            <w:tcBorders/>
          </w:tcPr>
          <w:p>
            <w:pPr>
              <w:pStyle w:val="Normal"/>
              <w:widowControl/>
              <w:spacing w:before="0" w:after="0"/>
              <w:jc w:val="left"/>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 xml:space="preserve">№ </w:t>
            </w:r>
            <w:r>
              <w:rPr>
                <w:rFonts w:eastAsia="Calibri" w:cs="Times New Roman" w:ascii="Times New Roman" w:hAnsi="Times New Roman"/>
                <w:b/>
                <w:bCs/>
                <w:color w:val="000000"/>
                <w:kern w:val="0"/>
                <w:sz w:val="24"/>
                <w:szCs w:val="24"/>
                <w:lang w:val="ru-RU" w:eastAsia="en-US" w:bidi="ar-SA"/>
              </w:rPr>
              <w:t>п/п</w:t>
            </w:r>
          </w:p>
        </w:tc>
        <w:tc>
          <w:tcPr>
            <w:tcW w:w="6133"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Вопрос</w:t>
            </w:r>
          </w:p>
        </w:tc>
        <w:tc>
          <w:tcPr>
            <w:tcW w:w="2978"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(оценка сформированности компонентов «уметь» и «владеть»)</w:t>
            </w:r>
          </w:p>
        </w:tc>
      </w:tr>
      <w:tr>
        <w:trPr/>
        <w:tc>
          <w:tcPr>
            <w:tcW w:w="813" w:type="dxa"/>
            <w:tcBorders/>
          </w:tcPr>
          <w:p>
            <w:pPr>
              <w:pStyle w:val="ListParagraph"/>
              <w:numPr>
                <w:ilvl w:val="0"/>
                <w:numId w:val="142"/>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21"/>
              <w:spacing w:lineRule="auto" w:line="240" w:before="0" w:after="0"/>
              <w:ind w:firstLine="34"/>
              <w:jc w:val="left"/>
              <w:rPr>
                <w:bCs/>
                <w:color w:val="000000"/>
                <w:sz w:val="24"/>
                <w:szCs w:val="24"/>
              </w:rPr>
            </w:pPr>
            <w:r>
              <w:rPr>
                <w:bCs/>
                <w:kern w:val="0"/>
                <w:sz w:val="24"/>
                <w:szCs w:val="24"/>
                <w:shd w:fill="FFFFFF" w:val="clear"/>
                <w:lang w:val="ru-RU" w:eastAsia="en-US" w:bidi="ar-SA"/>
              </w:rPr>
              <w:t>Составьте алгоритм для интерпретации полученных лабораторных данных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3"/>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kern w:val="0"/>
                <w:sz w:val="24"/>
                <w:szCs w:val="24"/>
                <w:shd w:fill="FFFFFF" w:val="clear"/>
                <w:lang w:val="ru-RU" w:eastAsia="en-US" w:bidi="ar-SA"/>
              </w:rPr>
              <w:t>Составьте алгоритм для интерпретации полученных данных инструментальных исследований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4"/>
              </w:numPr>
              <w:tabs>
                <w:tab w:val="clear" w:pos="567"/>
                <w:tab w:val="left" w:pos="-284"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Сформулируйте научно-исследовательские и прикладные задачи, необходимые для достижения цели вашей научно-квалификационной работы, и предложите способы их решения с использованием междисциплинарного взаимодействия.</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ПК-4</w:t>
            </w:r>
          </w:p>
        </w:tc>
      </w:tr>
    </w:tbl>
    <w:p>
      <w:pPr>
        <w:pStyle w:val="NoSpacing"/>
        <w:jc w:val="right"/>
        <w:rPr>
          <w:sz w:val="24"/>
          <w:szCs w:val="24"/>
          <w:lang w:val="ru-RU"/>
        </w:rPr>
      </w:pPr>
      <w:r>
        <w:rPr>
          <w:sz w:val="24"/>
          <w:szCs w:val="24"/>
          <w:lang w:val="ru-RU"/>
        </w:rPr>
      </w:r>
    </w:p>
    <w:p>
      <w:pPr>
        <w:pStyle w:val="Heading4"/>
        <w:ind w:left="455"/>
        <w:jc w:val="both"/>
        <w:rPr>
          <w:sz w:val="24"/>
          <w:szCs w:val="24"/>
          <w:lang w:val="ru-RU"/>
        </w:rPr>
      </w:pPr>
      <w:r>
        <w:rPr>
          <w:sz w:val="24"/>
          <w:szCs w:val="24"/>
          <w:lang w:val="ru-RU"/>
        </w:rPr>
      </w:r>
    </w:p>
    <w:sectPr>
      <w:type w:val="nextPage"/>
      <w:pgSz w:w="11906" w:h="16838"/>
      <w:pgMar w:left="851" w:right="1134"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Narrow">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2"/>
    <w:lvlOverride w:ilvl="0">
      <w:startOverride w:val="1"/>
    </w:lvlOverride>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70"/>
    <w:lvlOverride w:ilvl="0">
      <w:startOverride w:val="1"/>
    </w:lvlOverride>
  </w:num>
  <w:num w:numId="143">
    <w:abstractNumId w:val="70"/>
  </w:num>
  <w:num w:numId="144">
    <w:abstractNumId w:val="70"/>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7b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Heading1">
    <w:name w:val="Heading 1"/>
    <w:basedOn w:val="Normal"/>
    <w:qFormat/>
    <w:pPr>
      <w:ind w:hanging="0" w:left="144"/>
      <w:outlineLvl w:val="0"/>
    </w:pPr>
    <w:rPr>
      <w:b/>
      <w:bCs/>
      <w:sz w:val="24"/>
      <w:szCs w:val="24"/>
    </w:rPr>
  </w:style>
  <w:style w:type="paragraph" w:styleId="Heading2">
    <w:name w:val="Heading 2"/>
    <w:basedOn w:val="Normal"/>
    <w:next w:val="Normal"/>
    <w:link w:val="2"/>
    <w:uiPriority w:val="9"/>
    <w:semiHidden/>
    <w:unhideWhenUsed/>
    <w:qFormat/>
    <w:rsid w:val="008143a3"/>
    <w:pPr>
      <w:keepNext w:val="true"/>
      <w:keepLines/>
      <w:widowControl w:val="false"/>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en-US"/>
    </w:rPr>
  </w:style>
  <w:style w:type="paragraph" w:styleId="Heading3">
    <w:name w:val="Heading 3"/>
    <w:basedOn w:val="Normal"/>
    <w:next w:val="Normal"/>
    <w:link w:val="3"/>
    <w:uiPriority w:val="9"/>
    <w:semiHidden/>
    <w:unhideWhenUsed/>
    <w:qFormat/>
    <w:rsid w:val="008143a3"/>
    <w:pPr>
      <w:keepNext w:val="true"/>
      <w:keepLines/>
      <w:widowControl w:val="false"/>
      <w:spacing w:before="40" w:after="0"/>
      <w:outlineLvl w:val="2"/>
    </w:pPr>
    <w:rPr>
      <w:rFonts w:ascii="Calibri Light" w:hAnsi="Calibri Light" w:eastAsia="" w:cs="" w:asciiTheme="majorHAnsi" w:cstheme="majorBidi" w:eastAsiaTheme="majorEastAsia" w:hAnsiTheme="majorHAnsi"/>
      <w:color w:themeColor="accent1" w:themeShade="7f" w:val="1F3763"/>
      <w:lang w:val="en-US"/>
    </w:rPr>
  </w:style>
  <w:style w:type="paragraph" w:styleId="Heading4">
    <w:name w:val="Heading 4"/>
    <w:basedOn w:val="Normal"/>
    <w:link w:val="4"/>
    <w:uiPriority w:val="1"/>
    <w:qFormat/>
    <w:rsid w:val="006845f2"/>
    <w:pPr>
      <w:widowControl w:val="false"/>
      <w:ind w:left="836"/>
      <w:outlineLvl w:val="3"/>
    </w:pPr>
    <w:rPr>
      <w:rFonts w:ascii="Times New Roman" w:hAnsi="Times New Roman" w:eastAsia="Times New Roman" w:cs="Times New Roman"/>
      <w:b/>
      <w:bCs/>
      <w:sz w:val="28"/>
      <w:szCs w:val="28"/>
      <w:lang w:val="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1"/>
    <w:qFormat/>
    <w:rsid w:val="006845f2"/>
    <w:rPr>
      <w:rFonts w:ascii="Times New Roman" w:hAnsi="Times New Roman" w:eastAsia="Times New Roman" w:cs="Times New Roman"/>
      <w:b/>
      <w:bCs/>
      <w:sz w:val="28"/>
      <w:szCs w:val="28"/>
      <w:lang w:val="en-US"/>
    </w:rPr>
  </w:style>
  <w:style w:type="character" w:styleId="Style10" w:customStyle="1">
    <w:name w:val="Основной текст Знак"/>
    <w:basedOn w:val="DefaultParagraphFont"/>
    <w:uiPriority w:val="1"/>
    <w:qFormat/>
    <w:rsid w:val="006845f2"/>
    <w:rPr>
      <w:rFonts w:ascii="Times New Roman" w:hAnsi="Times New Roman" w:eastAsia="Times New Roman" w:cs="Times New Roman"/>
      <w:sz w:val="28"/>
      <w:szCs w:val="28"/>
      <w:lang w:val="en-US"/>
    </w:rPr>
  </w:style>
  <w:style w:type="character" w:styleId="2" w:customStyle="1">
    <w:name w:val="Заголовок 2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bf" w:val="2F5496"/>
      <w:sz w:val="26"/>
      <w:szCs w:val="26"/>
      <w:lang w:val="en-US"/>
    </w:rPr>
  </w:style>
  <w:style w:type="character" w:styleId="3" w:customStyle="1">
    <w:name w:val="Заголовок 3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7f" w:val="1F3763"/>
      <w:lang w:val="en-US"/>
    </w:rPr>
  </w:style>
  <w:style w:type="character" w:styleId="ArialNarrow9" w:customStyle="1">
    <w:name w:val="Стиль Arial Narrow 9 пт"/>
    <w:basedOn w:val="DefaultParagraphFont"/>
    <w:qFormat/>
    <w:rsid w:val="008143a3"/>
    <w:rPr>
      <w:rFonts w:ascii="Arial Narrow" w:hAnsi="Arial Narrow"/>
      <w:sz w:val="20"/>
    </w:rPr>
  </w:style>
  <w:style w:type="character" w:styleId="Style11" w:customStyle="1">
    <w:name w:val="Основной текст с отступом Знак"/>
    <w:basedOn w:val="DefaultParagraphFont"/>
    <w:uiPriority w:val="99"/>
    <w:semiHidden/>
    <w:qFormat/>
    <w:rsid w:val="008143a3"/>
    <w:rPr>
      <w:rFonts w:ascii="Times New Roman" w:hAnsi="Times New Roman" w:eastAsia="Times New Roman" w:cs="Times New Roman"/>
      <w:sz w:val="22"/>
      <w:szCs w:val="22"/>
      <w:lang w:val="en-US"/>
    </w:rPr>
  </w:style>
  <w:style w:type="character" w:styleId="S1" w:customStyle="1">
    <w:name w:val="s1"/>
    <w:basedOn w:val="DefaultParagraphFont"/>
    <w:qFormat/>
    <w:rsid w:val="008143a3"/>
    <w:rPr>
      <w:rFonts w:cs="Times New Roman"/>
    </w:rPr>
  </w:style>
  <w:style w:type="character" w:styleId="31" w:customStyle="1">
    <w:name w:val="Основной текст 3 Знак"/>
    <w:basedOn w:val="DefaultParagraphFont"/>
    <w:link w:val="BodyText3"/>
    <w:uiPriority w:val="99"/>
    <w:semiHidden/>
    <w:qFormat/>
    <w:rsid w:val="008143a3"/>
    <w:rPr>
      <w:rFonts w:eastAsia="" w:eastAsiaTheme="minorEastAsia"/>
      <w:sz w:val="16"/>
      <w:szCs w:val="16"/>
      <w:lang w:eastAsia="ru-RU"/>
    </w:rPr>
  </w:style>
  <w:style w:type="character" w:styleId="Style12" w:customStyle="1">
    <w:name w:val="Верх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3" w:customStyle="1">
    <w:name w:val="Ниж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4" w:customStyle="1">
    <w:name w:val="Основной текст_"/>
    <w:basedOn w:val="DefaultParagraphFont"/>
    <w:link w:val="21"/>
    <w:qFormat/>
    <w:rsid w:val="00bf619c"/>
    <w:rPr>
      <w:rFonts w:ascii="Times New Roman" w:hAnsi="Times New Roman" w:eastAsia="Times New Roman" w:cs="Times New Roman"/>
      <w:sz w:val="26"/>
      <w:szCs w:val="26"/>
      <w:shd w:fill="FFFFFF" w:val="clear"/>
    </w:rPr>
  </w:style>
  <w:style w:type="character" w:styleId="Strong">
    <w:name w:val="Strong"/>
    <w:basedOn w:val="DefaultParagraphFont"/>
    <w:qFormat/>
    <w:rsid w:val="008f7ef2"/>
    <w:rPr>
      <w:b/>
      <w:bCs w:val="false"/>
    </w:rPr>
  </w:style>
  <w:style w:type="character" w:styleId="Style15" w:customStyle="1">
    <w:name w:val="Текст выноски Знак"/>
    <w:basedOn w:val="DefaultParagraphFont"/>
    <w:link w:val="BalloonText"/>
    <w:uiPriority w:val="99"/>
    <w:semiHidden/>
    <w:qFormat/>
    <w:rsid w:val="008f7ef2"/>
    <w:rPr>
      <w:rFonts w:ascii="Tahoma" w:hAnsi="Tahoma" w:cs="Tahoma"/>
      <w:sz w:val="16"/>
      <w:szCs w:val="16"/>
    </w:rPr>
  </w:style>
  <w:style w:type="character" w:styleId="Style16" w:customStyle="1">
    <w:name w:val="Текст Знак"/>
    <w:basedOn w:val="DefaultParagraphFont"/>
    <w:link w:val="PlainText"/>
    <w:qFormat/>
    <w:rsid w:val="002c718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1e4898"/>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0"/>
    <w:uiPriority w:val="1"/>
    <w:qFormat/>
    <w:rsid w:val="006845f2"/>
    <w:pPr>
      <w:widowControl w:val="false"/>
    </w:pPr>
    <w:rPr>
      <w:rFonts w:ascii="Times New Roman" w:hAnsi="Times New Roman" w:eastAsia="Times New Roman" w:cs="Times New Roman"/>
      <w:sz w:val="28"/>
      <w:szCs w:val="28"/>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7708a5"/>
    <w:pPr>
      <w:widowControl w:val="false"/>
      <w:ind w:hanging="490" w:left="116"/>
    </w:pPr>
    <w:rPr>
      <w:rFonts w:ascii="Times New Roman" w:hAnsi="Times New Roman" w:eastAsia="Times New Roman" w:cs="Times New Roman"/>
      <w:sz w:val="22"/>
      <w:szCs w:val="22"/>
      <w:lang w:val="en-US"/>
    </w:rPr>
  </w:style>
  <w:style w:type="paragraph" w:styleId="NoSpacing">
    <w:name w:val="No Spacing"/>
    <w:uiPriority w:val="1"/>
    <w:qFormat/>
    <w:rsid w:val="00974884"/>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ableParagraph" w:customStyle="1">
    <w:name w:val="Table Paragraph"/>
    <w:basedOn w:val="Normal"/>
    <w:uiPriority w:val="1"/>
    <w:qFormat/>
    <w:rsid w:val="00107d9b"/>
    <w:pPr>
      <w:widowControl w:val="false"/>
    </w:pPr>
    <w:rPr>
      <w:rFonts w:ascii="Times New Roman" w:hAnsi="Times New Roman" w:eastAsia="Times New Roman" w:cs="Times New Roman"/>
      <w:sz w:val="22"/>
      <w:szCs w:val="22"/>
      <w:lang w:val="en-US"/>
    </w:rPr>
  </w:style>
  <w:style w:type="paragraph" w:styleId="Default" w:customStyle="1">
    <w:name w:val="Default"/>
    <w:qFormat/>
    <w:rsid w:val="0090109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odyTextIndent">
    <w:name w:val="Body Text Indent"/>
    <w:basedOn w:val="Normal"/>
    <w:link w:val="Style11"/>
    <w:uiPriority w:val="99"/>
    <w:semiHidden/>
    <w:unhideWhenUsed/>
    <w:rsid w:val="008143a3"/>
    <w:pPr>
      <w:widowControl w:val="false"/>
      <w:spacing w:before="0" w:after="120"/>
      <w:ind w:left="283"/>
    </w:pPr>
    <w:rPr>
      <w:rFonts w:ascii="Times New Roman" w:hAnsi="Times New Roman" w:eastAsia="Times New Roman" w:cs="Times New Roman"/>
      <w:sz w:val="22"/>
      <w:szCs w:val="22"/>
      <w:lang w:val="en-US"/>
    </w:rPr>
  </w:style>
  <w:style w:type="paragraph" w:styleId="1" w:customStyle="1">
    <w:name w:val="Обычный1"/>
    <w:uiPriority w:val="99"/>
    <w:qFormat/>
    <w:rsid w:val="008143a3"/>
    <w:pPr>
      <w:widowControl w:val="false"/>
      <w:suppressAutoHyphens w:val="true"/>
      <w:bidi w:val="0"/>
      <w:spacing w:before="0" w:after="0"/>
      <w:ind w:firstLine="284"/>
      <w:jc w:val="both"/>
    </w:pPr>
    <w:rPr>
      <w:rFonts w:ascii="Times New Roman" w:hAnsi="Times New Roman" w:eastAsia="Times New Roman" w:cs="Times New Roman"/>
      <w:color w:val="auto"/>
      <w:kern w:val="0"/>
      <w:sz w:val="20"/>
      <w:szCs w:val="20"/>
      <w:lang w:val="ru-RU" w:eastAsia="ru-RU" w:bidi="ar-SA"/>
    </w:rPr>
  </w:style>
  <w:style w:type="paragraph" w:styleId="BodyText3">
    <w:name w:val="Body Text 3"/>
    <w:basedOn w:val="Normal"/>
    <w:link w:val="31"/>
    <w:uiPriority w:val="99"/>
    <w:semiHidden/>
    <w:unhideWhenUsed/>
    <w:qFormat/>
    <w:rsid w:val="008143a3"/>
    <w:pPr>
      <w:spacing w:lineRule="auto" w:line="276" w:before="0" w:after="120"/>
    </w:pPr>
    <w:rPr>
      <w:rFonts w:eastAsia="" w:eastAsiaTheme="minorEastAsia"/>
      <w:sz w:val="16"/>
      <w:szCs w:val="16"/>
      <w:lang w:eastAsia="ru-RU"/>
    </w:rPr>
  </w:style>
  <w:style w:type="paragraph" w:styleId="NormalWeb">
    <w:name w:val="Normal (Web)"/>
    <w:basedOn w:val="Normal"/>
    <w:uiPriority w:val="99"/>
    <w:qFormat/>
    <w:rsid w:val="008143a3"/>
    <w:pPr>
      <w:spacing w:beforeAutospacing="1" w:after="119"/>
    </w:pPr>
    <w:rPr>
      <w:rFonts w:ascii="Times New Roman" w:hAnsi="Times New Roman" w:eastAsia="Times New Roman" w:cs="Times New Roman"/>
      <w:lang w:eastAsia="ru-RU"/>
    </w:rPr>
  </w:style>
  <w:style w:type="paragraph" w:styleId="Style19">
    <w:name w:val="Колонтитул"/>
    <w:basedOn w:val="Normal"/>
    <w:qFormat/>
    <w:pPr/>
    <w:rPr/>
  </w:style>
  <w:style w:type="paragraph" w:styleId="Header">
    <w:name w:val="Header"/>
    <w:basedOn w:val="Normal"/>
    <w:link w:val="Style12"/>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Footer">
    <w:name w:val="Footer"/>
    <w:basedOn w:val="Normal"/>
    <w:link w:val="Style13"/>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Standard" w:customStyle="1">
    <w:name w:val="Standard"/>
    <w:qFormat/>
    <w:rsid w:val="0099763b"/>
    <w:pPr>
      <w:widowControl/>
      <w:suppressAutoHyphens w:val="true"/>
      <w:bidi w:val="0"/>
      <w:spacing w:lineRule="auto" w:line="276" w:before="0" w:after="200"/>
      <w:jc w:val="left"/>
      <w:textAlignment w:val="baseline"/>
    </w:pPr>
    <w:rPr>
      <w:rFonts w:ascii="Calibri" w:hAnsi="Calibri" w:eastAsia="Times New Roman" w:cs="Calibri" w:asciiTheme="minorHAnsi" w:hAnsiTheme="minorHAnsi"/>
      <w:color w:val="auto"/>
      <w:kern w:val="2"/>
      <w:sz w:val="22"/>
      <w:szCs w:val="22"/>
      <w:lang w:val="ru-RU" w:eastAsia="en-US" w:bidi="ar-SA"/>
    </w:rPr>
  </w:style>
  <w:style w:type="paragraph" w:styleId="21" w:customStyle="1">
    <w:name w:val="Основной текст2"/>
    <w:basedOn w:val="Normal"/>
    <w:link w:val="Style14"/>
    <w:qFormat/>
    <w:rsid w:val="00bf619c"/>
    <w:pPr>
      <w:widowControl w:val="false"/>
      <w:shd w:val="clear" w:color="auto" w:fill="FFFFFF"/>
      <w:spacing w:lineRule="exact" w:line="494"/>
      <w:ind w:hanging="360"/>
      <w:jc w:val="center"/>
    </w:pPr>
    <w:rPr>
      <w:rFonts w:ascii="Times New Roman" w:hAnsi="Times New Roman" w:eastAsia="Times New Roman" w:cs="Times New Roman"/>
      <w:sz w:val="26"/>
      <w:szCs w:val="26"/>
    </w:rPr>
  </w:style>
  <w:style w:type="paragraph" w:styleId="BalloonText">
    <w:name w:val="Balloon Text"/>
    <w:basedOn w:val="Normal"/>
    <w:link w:val="Style15"/>
    <w:uiPriority w:val="99"/>
    <w:semiHidden/>
    <w:unhideWhenUsed/>
    <w:qFormat/>
    <w:rsid w:val="008f7ef2"/>
    <w:pPr/>
    <w:rPr>
      <w:rFonts w:ascii="Tahoma" w:hAnsi="Tahoma" w:cs="Tahoma"/>
      <w:sz w:val="16"/>
      <w:szCs w:val="16"/>
    </w:rPr>
  </w:style>
  <w:style w:type="paragraph" w:styleId="11" w:customStyle="1">
    <w:name w:val="Без интервала1"/>
    <w:qFormat/>
    <w:rsid w:val="00086e08"/>
    <w:pPr>
      <w:widowControl w:val="false"/>
      <w:suppressAutoHyphens w:val="true"/>
      <w:bidi w:val="0"/>
      <w:spacing w:lineRule="atLeast" w:line="100" w:before="0" w:after="0"/>
      <w:ind w:left="1560"/>
      <w:jc w:val="left"/>
    </w:pPr>
    <w:rPr>
      <w:rFonts w:ascii="Times New Roman" w:hAnsi="Times New Roman" w:eastAsia="Times New Roman" w:cs="Times New Roman"/>
      <w:color w:val="auto"/>
      <w:kern w:val="2"/>
      <w:sz w:val="28"/>
      <w:szCs w:val="28"/>
      <w:lang w:val="ru-RU" w:eastAsia="hi-IN" w:bidi="hi-IN"/>
    </w:rPr>
  </w:style>
  <w:style w:type="paragraph" w:styleId="Western" w:customStyle="1">
    <w:name w:val="western"/>
    <w:basedOn w:val="Normal"/>
    <w:qFormat/>
    <w:rsid w:val="00eb0c48"/>
    <w:pPr>
      <w:spacing w:beforeAutospacing="1" w:afterAutospacing="1"/>
    </w:pPr>
    <w:rPr>
      <w:rFonts w:ascii="Times New Roman" w:hAnsi="Times New Roman" w:eastAsia="Times New Roman" w:cs="Times New Roman"/>
      <w:lang w:eastAsia="ru-RU"/>
    </w:rPr>
  </w:style>
  <w:style w:type="paragraph" w:styleId="PlainText">
    <w:name w:val="Plain Text"/>
    <w:basedOn w:val="Normal"/>
    <w:link w:val="Style16"/>
    <w:unhideWhenUsed/>
    <w:qFormat/>
    <w:rsid w:val="002c718d"/>
    <w:pPr/>
    <w:rPr>
      <w:rFonts w:ascii="Courier New" w:hAnsi="Courier New" w:eastAsia="Times New Roman" w:cs="Courier New"/>
      <w:sz w:val="20"/>
      <w:szCs w:val="20"/>
      <w:lang w:eastAsia="ru-RU"/>
    </w:rPr>
  </w:style>
  <w:style w:type="paragraph" w:styleId="Txt" w:customStyle="1">
    <w:name w:val="txt"/>
    <w:basedOn w:val="Normal"/>
    <w:qFormat/>
    <w:rsid w:val="00e91097"/>
    <w:pPr>
      <w:spacing w:beforeAutospacing="1" w:afterAutospacing="1"/>
    </w:pPr>
    <w:rPr>
      <w:rFonts w:ascii="Times New Roman" w:hAnsi="Times New Roman" w:eastAsia="Times New Roman" w:cs="Times New Roman"/>
      <w:lang w:eastAsia="ru-RU"/>
    </w:rPr>
  </w:style>
  <w:style w:type="paragraph" w:styleId="Style20">
    <w:name w:val="список с точками"/>
    <w:basedOn w:val="Normal"/>
    <w:qFormat/>
    <w:pPr>
      <w:widowControl/>
      <w:tabs>
        <w:tab w:val="clear" w:pos="567"/>
        <w:tab w:val="left" w:pos="822" w:leader="none"/>
      </w:tabs>
      <w:suppressAutoHyphens w:val="true"/>
      <w:spacing w:lineRule="auto" w:line="312"/>
      <w:ind w:hanging="255" w:left="822"/>
      <w:jc w:val="both"/>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07d9b"/>
    <w:rPr>
      <w:lang w:val="en-US"/>
      <w:sz w:val="22"/>
      <w:szCs w:val="22"/>
    </w:rPr>
    <w:tblPr>
      <w:tblCellMar>
        <w:top w:w="0" w:type="dxa"/>
        <w:left w:w="0" w:type="dxa"/>
        <w:bottom w:w="0" w:type="dxa"/>
        <w:right w:w="0" w:type="dxa"/>
      </w:tblCellMar>
    </w:tblPr>
  </w:style>
  <w:style w:type="table" w:styleId="ae">
    <w:name w:val="Table Grid"/>
    <w:basedOn w:val="a1"/>
    <w:uiPriority w:val="59"/>
    <w:rsid w:val="006a1a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69F7-2006-4476-A717-FD5A9C2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LibreOffice/7.6.5.2$Windows_X86_64 LibreOffice_project/38d5f62f85355c192ef5f1dd47c5c0c0c6d6598b</Application>
  <AppVersion>15.0000</AppVersion>
  <Pages>8</Pages>
  <Words>1638</Words>
  <Characters>12579</Characters>
  <CharactersWithSpaces>13933</CharactersWithSpaces>
  <Paragraphs>335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2019-09-25T10:22:00Z</dcterms:created>
  <dc:creator>user</dc:creator>
  <dc:description/>
  <dc:language>ru-RU</dc:language>
  <cp:lastModifiedBy/>
  <dcterms:modified xsi:type="dcterms:W3CDTF">2025-04-01T14:24:58Z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