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rFonts w:ascii="Times New Roman" w:hAnsi="Times New Roman"/>
          <w:b/>
          <w:lang w:val="ru-RU"/>
        </w:rPr>
        <w:t>агентства</w:t>
      </w:r>
      <w:r>
        <w:rPr>
          <w:rFonts w:ascii="Times New Roman" w:hAnsi="Times New Roman"/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Общественное здоровье и здравоохранение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5"/>
        </w:rPr>
        <w:t xml:space="preserve"> о</w:t>
      </w:r>
      <w:r>
        <w:rPr>
          <w:rFonts w:ascii="Times New Roman" w:hAnsi="Times New Roman"/>
        </w:rPr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31.08.</w:t>
      </w:r>
      <w:r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pacing w:val="-2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>
          <w:rFonts w:ascii="Times New Roman" w:hAnsi="Times New Roman"/>
          <w:spacing w:val="-2"/>
        </w:rPr>
        <w:t>Оториноларингология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3"/>
        </w:rPr>
        <w:t xml:space="preserve"> </w:t>
      </w:r>
    </w:p>
    <w:p>
      <w:pPr>
        <w:pStyle w:val="Normal"/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Место дисциплины в структуре ОПОП</w:t>
      </w:r>
    </w:p>
    <w:p>
      <w:pPr>
        <w:pStyle w:val="Normal"/>
        <w:spacing w:lineRule="auto" w:line="252" w:before="0" w:after="558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tbl>
      <w:tblPr>
        <w:tblStyle w:val="TableGrid"/>
        <w:tblW w:w="10606" w:type="dxa"/>
        <w:jc w:val="left"/>
        <w:tblInd w:w="0" w:type="dxa"/>
        <w:tblLayout w:type="fixed"/>
        <w:tblCellMar>
          <w:top w:w="13" w:type="dxa"/>
          <w:left w:w="37" w:type="dxa"/>
          <w:bottom w:w="0" w:type="dxa"/>
          <w:right w:w="106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52"/>
        <w:gridCol w:w="1848"/>
        <w:gridCol w:w="1960"/>
      </w:tblGrid>
      <w:tr>
        <w:trPr>
          <w:trHeight w:val="80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Формируемые компетенции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</w:tr>
      <w:tr>
        <w:trPr>
          <w:trHeight w:val="93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Индикатор 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center" w:pos="848" w:leader="none"/>
                <w:tab w:val="right" w:pos="2267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</w:t>
              <w:tab/>
              <w:t xml:space="preserve">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16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618" w:leader="none"/>
                <w:tab w:val="right" w:pos="1705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</w:t>
              <w:tab/>
              <w:t xml:space="preserve"> </w:t>
              <w:tab/>
              <w:t>текущего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 промежуточной аттестации</w:t>
            </w:r>
          </w:p>
        </w:tc>
      </w:tr>
      <w:tr>
        <w:trPr>
          <w:trHeight w:val="98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УК-3: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 Формирует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 Руководит работой команды врачей, среднего и младшего медицинского персонала в процессе оказания  медицинской помощи населению УК-3.3: Решает проблемы возникшие внутри команды в процессе оказания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формирования стратегии командной работы уметь формировать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Владеть методами формирование стратегии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решения проблемы возникшие внутри команды в процессе оказания медицинской помощи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6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 Контрольные вопросы Тест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3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10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 Выбирает стиль общения для выстраивания взаимодействия в рамках своей профессиональной деятельности УК-4.2: Использует современные средства коммуникации для передачи информации в рамках своей 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 Профилактирует и решает возникшие конфликты в рамках своей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профилактики решение возникших конфликтов в рамках своей профессиональной деятельности уметь профилактировать и решать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9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с использованием основных медикостатистических показателей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 статистических  показателей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медикостатистические показатели уметь использовать основные медико-статистические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46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 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91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ПК-4: 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Применяет принципы организации деятельности коллектива, управляет медицинским персоналом,  находящимся в его распоряжении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 Ведет медицинскую документацию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1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Трудоемкость дисциплины</w:t>
      </w:r>
    </w:p>
    <w:tbl>
      <w:tblPr>
        <w:tblStyle w:val="TableGrid"/>
        <w:tblW w:w="10204" w:type="dxa"/>
        <w:jc w:val="left"/>
        <w:tblInd w:w="0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93"/>
        <w:gridCol w:w="2410"/>
      </w:tblGrid>
      <w:tr>
        <w:trPr>
          <w:trHeight w:val="61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очная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72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43</w:t>
            </w:r>
          </w:p>
        </w:tc>
      </w:tr>
      <w:tr>
        <w:trPr>
          <w:trHeight w:val="6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numPr>
          <w:ilvl w:val="1"/>
          <w:numId w:val="1"/>
        </w:numPr>
        <w:spacing w:before="0" w:after="1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 w:color="000000"/>
        </w:rPr>
        <w:t>Содержание дисциплины</w:t>
      </w:r>
    </w:p>
    <w:p>
      <w:pPr>
        <w:pStyle w:val="Normal"/>
        <w:spacing w:lineRule="auto" w:line="259" w:before="0" w:after="181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>
      <w:pPr>
        <w:pStyle w:val="Normal"/>
        <w:spacing w:before="0" w:after="0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FFF000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092" w:type="dxa"/>
        <w:jc w:val="left"/>
        <w:tblInd w:w="0" w:type="dxa"/>
        <w:tblLayout w:type="fixed"/>
        <w:tblCellMar>
          <w:top w:w="15" w:type="dxa"/>
          <w:left w:w="3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5039"/>
        <w:gridCol w:w="1106"/>
        <w:gridCol w:w="1107"/>
        <w:gridCol w:w="1175"/>
        <w:gridCol w:w="743"/>
        <w:gridCol w:w="921"/>
      </w:tblGrid>
      <w:tr>
        <w:trPr>
          <w:trHeight w:val="264" w:hRule="atLeast"/>
        </w:trPr>
        <w:tc>
          <w:tcPr>
            <w:tcW w:w="5039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Наименование разделов и тем дисциплины</w:t>
            </w:r>
          </w:p>
        </w:tc>
        <w:tc>
          <w:tcPr>
            <w:tcW w:w="1106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 (часы)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728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8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Контактная работа (работа во взаимодействии с преподавателем),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часы из них</w:t>
            </w:r>
          </w:p>
        </w:tc>
        <w:tc>
          <w:tcPr>
            <w:tcW w:w="921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Самостоятельная работа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обучающегося, часы</w:t>
            </w:r>
          </w:p>
        </w:tc>
      </w:tr>
      <w:tr>
        <w:trPr>
          <w:trHeight w:val="1320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лекционного типа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семинарского типа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(практические занятия/лабора торные работы), часы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</w:t>
            </w:r>
          </w:p>
        </w:tc>
        <w:tc>
          <w:tcPr>
            <w:tcW w:w="921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27" w:right="4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63" w:right="4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39" w:right="5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1. Теоретические и организационные основы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2. Здоровье населения и методы его изучения.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3. Медицинская статистика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4. Организация лечебно- профилактической и санитарно- противоэпидемической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5. Экспертиза трудоспособности в здравоохранении.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6. Основы медицинского законодательства и права.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7. Оценка качества лечебно- профилактической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8. Экономика здравоохранения. Основы планирования, маркетинга, управления, экономики и финансирования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9. Политика в области охраны здоровья. Модернизация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Аттестация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КСР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72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29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43</w:t>
            </w:r>
          </w:p>
        </w:tc>
      </w:tr>
    </w:tbl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 разделов и тем дисциплины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«Теоретические и организационные основы здравоохранения» предусматривает изучение: Тема 1.1. Теоретические основы общественного здоровья и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1.2. Общественное здоровье и здравоохранение как наука и предмет преподавания, ее значение в практической деятельности врача.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1.3. Здравоохранение зарубежных стран. Всемирная организация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«Здоровье населения и методы его изучения»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2.1. Медицинская демография, ее значение для здравоохранения. Современные демографические проблемы.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2.2. Определение понятия заболеваемости. Методы изучения заболеваемости, их сравнительная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2.3. Важнейшие неинфекционные и инфекционные заболевания как медико-социальная проблема: эпидемиология, организация медико-социальной помощи, профилактика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2.4. Физическое развитие.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«Медицинская статистика»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3.1. Методика организации статистического исследования.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3.2. Методы расчета относительных величин, ошибка относительного показателя, оценка достоверности.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3.3. Основные ошибки статистического анализа. Вариационный ряд и его параметры.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3.4. Методы вычисления и оценки физического развития.</w:t>
      </w:r>
    </w:p>
    <w:p>
      <w:pPr>
        <w:pStyle w:val="Normal"/>
        <w:ind w:hanging="10" w:left="-5" w:right="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3.5. Корреляция и регрессия. Стандартизация относительных величин по прямому методу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«Организация лечебно-профилактической и санитарно- противоэпидемической помощи»предусматривает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4.1. Принципы охраны здоровья.</w:t>
      </w:r>
    </w:p>
    <w:p>
      <w:pPr>
        <w:pStyle w:val="Normal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4.2. Организация лечебно-профилактической помощи взрослому населению. Врач общей практики.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4.3. Системы, виды медицинской помощи, типы медицинских учреждений, номенклатура ЛПУ.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медико-санитарная помощь в городе. Роль поликлиники.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4.4. Стационарная помощь. Медицинская документация в стационаре Показатели деятельности Тема 4.4. Организация лечебно-профилактической помощи женщинам и детям.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4.5. Укрепление здоровья населения. Медико-социальные аспекты здорового образа жизни.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Гигиеническое обучение и воспитание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«Экспертиза трудоспособности в здравоохранении» предусматривает изучение:</w:t>
      </w:r>
    </w:p>
    <w:p>
      <w:pPr>
        <w:pStyle w:val="Normal"/>
        <w:ind w:hanging="10" w:left="-5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5.1. Основные термины и методология экспертизы трудоспособности. Определение понятий «трудоспособность» и «нетрудоспособность». Виды трудоспособности (общая и профессиональная) и нетрудоспособности (частичная, полная, временная, стойкая).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5.2. Организация экспертизы временной нетрудоспособности. Органы экспертизы трудоспособности в Российской Федерации. Законодательная база экспертизы временной нетрудоспособности в Российской Федерации.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5.3. Основные термины и понятия (ограничение жизнедеятельности, инвалид, инвалидность, медико-социальная экспертиза, реабилитация инвалидов). Принципы и задачи медико-социальной экспертизы. Порядок проведения медико-социальной экспертизы. Нормативно-правовое обеспечение организации медико-социальной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«Основы медицинского законодательства и права» включает рассмотрение вопросов:</w:t>
      </w:r>
    </w:p>
    <w:p>
      <w:pPr>
        <w:pStyle w:val="Normal"/>
        <w:ind w:hanging="10" w:left="-5" w:right="2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6.1. Конституция РФ, Основы законодательства РФ об охране здоровья граждан нормативно-правовые акты, создающие правовую основу охраны здоровья граждан в РФ.</w:t>
      </w:r>
    </w:p>
    <w:p>
      <w:pPr>
        <w:pStyle w:val="Normal"/>
        <w:ind w:hanging="10" w:left="-5" w:right="20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6.2. Правовое обеспечение профессиональной медицинской деятельности. Права и социальная защита медицинских и фармацевтических работников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6.3. Законодательная база медицинского страхования в РФ. Нормативная документация, регламентирующая деятельность в системе обязательного и добровольного медицинского страхования.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«Оценка качества лечебно-профилактической помощи» включает рассмотрение вопросов: Тема 7.1. Основные термины и понятия (качество, качество медицинской помощи, результативность, эффективность, законность, адекватность, удовлетворенность и т.д.)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7.2. Методические подходы к оценке качества медицинской помощи.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7.3. Медико-экономические стандарты. Протоколы ведения больных.</w:t>
      </w:r>
    </w:p>
    <w:p>
      <w:pPr>
        <w:pStyle w:val="Normal"/>
        <w:ind w:hanging="10" w:left="-5"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7.4. Виды экспертиз. Гражданско-правовая и экономическая ответственность по результатам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«Экономика здравоохранения. Основы планирования, маркетинга, управления, экономики ифинансирования здравоохранения»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8.1. Основные методы планирования и источники финансирования мероприятий по охране здоровья населения.</w:t>
      </w:r>
    </w:p>
    <w:p>
      <w:pPr>
        <w:pStyle w:val="Normal"/>
        <w:widowControl/>
        <w:suppressAutoHyphens w:val="true"/>
        <w:bidi w:val="0"/>
        <w:spacing w:lineRule="auto" w:line="259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8.2. Ценообразование. Финансирование медицинских учреждений в условиях медицинского страхования.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8.3. Программа государственных гарантий обеспечения населения бесплатной медицинской помощью.</w:t>
      </w:r>
    </w:p>
    <w:p>
      <w:pPr>
        <w:pStyle w:val="Normal"/>
        <w:ind w:hanging="10" w:left="-5" w:right="1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8.4. Бизнес-планирование объекта здравоохранения. Основные разделы бизнес – плана, их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«Политика в области охраны здоровья. Модернизация здравоохранения» предусматриваетизучение: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9.1. Основные приоритеты политики государства в области охраны здоровья населения.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9.2. Основные направления реформирования в Российской Федерации и за рубежом. 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9.3. Многоуровневая система здравоохранения в РФ. Национальный проект «ЗДОРОВЬЕ», проблемы и перспективы.</w:t>
      </w:r>
    </w:p>
    <w:p>
      <w:pPr>
        <w:pStyle w:val="Normal"/>
        <w:numPr>
          <w:ilvl w:val="0"/>
          <w:numId w:val="4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spacing w:lineRule="auto" w:line="252"/>
        <w:ind w:hanging="0" w:left="-5" w:right="1206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задания, необходимые для оценки результатов обучения при проведениитекущего контроля успеваемости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УК-3: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практика организации здравоохранения: теория, системы, тенденции развития.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ОПК-2: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медицинская статистическая документация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ОПК-9: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Методы изучения и оценка здоровья населения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ПК-4: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Реферат)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264"/>
        <w:gridCol w:w="7485"/>
      </w:tblGrid>
      <w:tr>
        <w:trPr>
          <w:trHeight w:val="63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и содержание реферата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реферата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УК-3: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МЗ Архангельской области обратился сын гр. Т., 1938 г. р., инвалида 2 группы, страдающей шизофренией, с жалобой на отказ в направлении в круглосуточный стационар по поводу общего заболевания. Гр. Т. проживает одна в арендованной комнате в районе обслуживания иной медицинской организации (другой конец города). Диагноз: дисциркуляторная энцефалопатия 2 Б ст. в вертебробазилярном бассейне, стадия субкомпенсации, когнитивное снижение. Фоновое заболевание -артериальная гипертензия, церебральный атеросклероз. Тугоухость. В разговоре по телефону сын гр. Т. уточнил, что на момент написания жалобы его мать находилась на принудительном лечении в психиатрической больнице.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медицинских осмотров несовершеннолетних, в том числе при поступлении в образовательные учреждения и в период обучения, осуществляется на основании приказа МЗ РФ от 21.12.2012 г. №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Задачи)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6"/>
        <w:gridCol w:w="8783"/>
      </w:tblGrid>
      <w:tr>
        <w:trPr>
          <w:trHeight w:val="63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476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 при промежуточной аттестации</w:t>
      </w:r>
    </w:p>
    <w:p>
      <w:pPr>
        <w:pStyle w:val="Normal"/>
        <w:spacing w:before="0" w:after="47"/>
        <w:ind w:hanging="10" w:left="24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сформированности компетенций</w:t>
      </w:r>
    </w:p>
    <w:tbl>
      <w:tblPr>
        <w:tblStyle w:val="TableGrid"/>
        <w:tblW w:w="9780" w:type="dxa"/>
        <w:jc w:val="left"/>
        <w:tblInd w:w="0" w:type="dxa"/>
        <w:tblLayout w:type="fixed"/>
        <w:tblCellMar>
          <w:top w:w="12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8"/>
        <w:gridCol w:w="1990"/>
        <w:gridCol w:w="1906"/>
        <w:gridCol w:w="1906"/>
        <w:gridCol w:w="2200"/>
      </w:tblGrid>
      <w:tr>
        <w:trPr>
          <w:trHeight w:val="1304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неудовлетворительн 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2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30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1460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Допущено 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187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>
        <w:trPr>
          <w:trHeight w:val="125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базовые навыки при решении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стандартных задач с 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</w:tbl>
    <w:p>
      <w:pPr>
        <w:pStyle w:val="Normal"/>
        <w:spacing w:before="0" w:after="0"/>
        <w:ind w:hanging="10" w:left="241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при промежуточной аттестации</w:t>
      </w:r>
    </w:p>
    <w:tbl>
      <w:tblPr>
        <w:tblStyle w:val="TableGrid"/>
        <w:tblW w:w="9696" w:type="dxa"/>
        <w:jc w:val="left"/>
        <w:tblInd w:w="0" w:type="dxa"/>
        <w:tblLayout w:type="fixed"/>
        <w:tblCellMar>
          <w:top w:w="17" w:type="dxa"/>
          <w:left w:w="1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987"/>
        <w:gridCol w:w="1560"/>
        <w:gridCol w:w="7149"/>
      </w:tblGrid>
      <w:tr>
        <w:trPr>
          <w:trHeight w:val="330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2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40" w:hRule="atLeast"/>
        </w:trPr>
        <w:tc>
          <w:tcPr>
            <w:tcW w:w="987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 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33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 ельно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Хотя бы одна компетенция сформирована на уровне «неудовлетворительно».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контрольные задания или иные материалы, необходимые для оценкирезультатов обучения на промежуточной аттестации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амбулаторно-поликлинической помощи населению РФ.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стационарной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специализированной медицинской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Экспертиза стойкой нетрудоспособности в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88"/>
        <w:gridCol w:w="8561"/>
      </w:tblGrid>
      <w:tr>
        <w:trPr>
          <w:trHeight w:val="63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lineRule="auto" w:line="511"/>
        <w:ind w:hanging="10" w:left="-5" w:right="2486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мероприятий первичной и вторичной профилактики определяется в первую очередь: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снижением заболеваемости и смертности у лиц трудоспособного возраста</w:t>
      </w:r>
    </w:p>
    <w:p>
      <w:pPr>
        <w:pStyle w:val="Normal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снижением заболеваемости и смертности у детей и подростков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снижением заболеваемости и смертности у лиц пожилого возраста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рациональностью финансовых вложений в систему здравоохранения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д) рациональностью распределения кадровых ресурсов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оказания услуг медицинскими организациями инициируется: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ФФОМС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ТФОМС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СМО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numPr>
          <w:ilvl w:val="2"/>
          <w:numId w:val="4"/>
        </w:numPr>
        <w:spacing w:before="0" w:after="121"/>
        <w:ind w:hanging="10" w:left="145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 видам медицинской помощи относятся:</w:t>
      </w:r>
    </w:p>
    <w:p>
      <w:pPr>
        <w:pStyle w:val="Normal"/>
        <w:spacing w:lineRule="auto" w:line="511"/>
        <w:ind w:hanging="10" w:left="-5" w:right="1110"/>
        <w:rPr>
          <w:rFonts w:ascii="Times New Roman" w:hAnsi="Times New Roman"/>
        </w:rPr>
      </w:pPr>
      <w:r>
        <w:rPr>
          <w:rFonts w:ascii="Times New Roman" w:hAnsi="Times New Roman"/>
        </w:rPr>
        <w:t>а) первичная медико-санитарная помощь; специализированная, в том числе высокотехнологичная, скорая медицинская помощь; паллиативная медицинская помощь</w:t>
      </w:r>
    </w:p>
    <w:p>
      <w:pPr>
        <w:pStyle w:val="Normal"/>
        <w:spacing w:lineRule="auto" w:line="511"/>
        <w:ind w:hanging="10" w:left="-5" w:right="1096"/>
        <w:rPr>
          <w:rFonts w:ascii="Times New Roman" w:hAnsi="Times New Roman"/>
        </w:rPr>
      </w:pPr>
      <w:r>
        <w:rPr>
          <w:rFonts w:ascii="Times New Roman" w:hAnsi="Times New Roman"/>
        </w:rPr>
        <w:t>б) первичная медико-санитарная помощь; специализированная, в том числе высокотехнологичная, скорая медицинская помощь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первичная медико-санитарная помощь; специализированная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lineRule="auto" w:line="511"/>
        <w:ind w:hanging="10" w:left="-5" w:right="1113"/>
        <w:rPr>
          <w:rFonts w:ascii="Times New Roman" w:hAnsi="Times New Roman"/>
        </w:rPr>
      </w:pPr>
      <w:r>
        <w:rPr>
          <w:rFonts w:ascii="Times New Roman" w:hAnsi="Times New Roman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медицинских услуг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лекарственных средств, зарегистрированных на территории РФ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медицинских изделий, имплантируемых в организм человека; компонентов крови</w:t>
      </w:r>
    </w:p>
    <w:p>
      <w:pPr>
        <w:pStyle w:val="Normal"/>
        <w:spacing w:lineRule="auto" w:line="511"/>
        <w:ind w:hanging="10" w:left="-5" w:right="1790"/>
        <w:rPr>
          <w:rFonts w:ascii="Times New Roman" w:hAnsi="Times New Roman"/>
        </w:rPr>
      </w:pPr>
      <w:r>
        <w:rPr>
          <w:rFonts w:ascii="Times New Roman" w:hAnsi="Times New Roman"/>
        </w:rPr>
        <w:t>г) видов лечебного питания, включая специализированные продукты лечебного питания 15</w:t>
      </w:r>
    </w:p>
    <w:p>
      <w:pPr>
        <w:pStyle w:val="Normal"/>
        <w:spacing w:lineRule="auto" w:line="511"/>
        <w:ind w:hanging="10" w:left="-5" w:right="808"/>
        <w:rPr>
          <w:rFonts w:ascii="Times New Roman" w:hAnsi="Times New Roman"/>
        </w:rPr>
      </w:pPr>
      <w:r>
        <w:rPr>
          <w:rFonts w:ascii="Times New Roman" w:hAnsi="Times New Roman"/>
        </w:rPr>
        <w:t>д) комплекса медицинских вмешательств, сохранение работоспособности пациента и его социальную интеграцию в общество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Укажите наиболее приоритетное направление структурных преобразований в здравоохранении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развитие первичной медико-санитарной помощи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развитие сети диспансеров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роли стационаров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роли санаторно-курортной помощи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Тест)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4"/>
        <w:gridCol w:w="8705"/>
      </w:tblGrid>
      <w:tr>
        <w:trPr>
          <w:trHeight w:val="63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4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89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выполненным при наличии не менее 56 процентов правильных ответов на тестовые задания.</w:t>
            </w:r>
          </w:p>
        </w:tc>
      </w:tr>
      <w:tr>
        <w:trPr>
          <w:trHeight w:val="898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не выполненным при наличии менее 56 процентов правильных ответов на тестовые задания.</w:t>
            </w:r>
          </w:p>
        </w:tc>
      </w:tr>
    </w:tbl>
    <w:p>
      <w:pPr>
        <w:pStyle w:val="Normal"/>
        <w:numPr>
          <w:ilvl w:val="0"/>
          <w:numId w:val="4"/>
        </w:numPr>
        <w:spacing w:before="0" w:after="20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литература: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Медик В.А. Общественное здоровье и здравоохранение : учебник / Медик В.А. - Москва : ГЭОТАР-Медиа, 2022. - 672 c. - ISBN ISBN 978-5-9704-7028-2., https://e-lib.unn.ru/MegaPro/UserEntry?Action=FindDocs&amp;ids=809227&amp;idb=0.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Дополнительная литература: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 Улумбекова Г.Э. Общественное здоровье и здравоохранение. Национальное руководство : 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практическое руководство / Улумбекова Г.Э.;  Медик В.А. - Москва : ГЭОТАР-Медиа, 2022. - 1144 c. - ISBN 978-5-9704-6723-7., https://e-lib.unn.ru/MegaPro/UserEntry? Action=FindDocs&amp;ids=807584&amp;idb=0.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Программное обеспечение и Интернет-ресурсы (в соответствии с содержанием дисциплины):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«Юрайт». Режим доступа: https://urait.ru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студента». Режим доступа: http://www.studentlibrary.ru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«Лань». Режим доступа: http://e.lanbook.com/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«Znanium.com». Режим доступа: http://www.znanium.com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врача» Режим доступа: www.rosmedlib.ru</w:t>
      </w:r>
    </w:p>
    <w:p>
      <w:pPr>
        <w:pStyle w:val="Normal"/>
        <w:spacing w:lineRule="auto" w:line="252" w:before="0" w:after="323"/>
        <w:ind w:hanging="10" w:left="-5" w:right="10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Лицензионное ПО (операционная система Microsoft Windows, пакет прикладных программ Microsoft Office) и свободно распространяемое программное обеспечение.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Автор(ы): </w:t>
      </w:r>
      <w:r>
        <w:rPr>
          <w:rFonts w:ascii="Times New Roman" w:hAnsi="Times New Roman"/>
          <w:sz w:val="24"/>
          <w:lang w:val="ru-RU"/>
        </w:rPr>
        <w:t>Слонов Андрей Владимирович</w:t>
      </w:r>
      <w:r>
        <w:rPr>
          <w:rFonts w:ascii="Times New Roman" w:hAnsi="Times New Roman"/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Программа одобрена на заседании </w:t>
      </w:r>
      <w:r>
        <w:rPr>
          <w:rFonts w:ascii="Times New Roman" w:hAnsi="Times New Roman"/>
          <w:sz w:val="24"/>
          <w:lang w:val="ru-RU"/>
        </w:rPr>
        <w:t>ученого комитета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lang w:val="ru-RU"/>
        </w:rPr>
        <w:t>27.03.2025г</w:t>
      </w:r>
      <w:r>
        <w:rPr>
          <w:rFonts w:ascii="Times New Roman" w:hAnsi="Times New Roman"/>
          <w:sz w:val="24"/>
        </w:rPr>
        <w:t xml:space="preserve">., протокол № 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994" w:right="574" w:gutter="0" w:header="0" w:top="713" w:footer="0" w:bottom="15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"/>
      <w:ind w:hanging="10" w:left="10" w:right="554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LibreOffice/7.6.5.2$Windows_X86_64 LibreOffice_project/38d5f62f85355c192ef5f1dd47c5c0c0c6d6598b</Application>
  <AppVersion>15.0000</AppVersion>
  <DocSecurity>4</DocSecurity>
  <Pages>15</Pages>
  <Words>3033</Words>
  <Characters>23481</Characters>
  <CharactersWithSpaces>26101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1;OpenTBS 1.9.12</dc:creator>
  <dc:description/>
  <dc:language>ru-RU</dc:language>
  <cp:lastModifiedBy/>
  <dcterms:modified xsi:type="dcterms:W3CDTF">2025-04-01T14:36:56Z</dcterms:modified>
  <cp:revision>8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