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before="71" w:after="0"/>
        <w:ind w:hanging="0" w:left="0" w:right="706"/>
        <w:jc w:val="right"/>
        <w:rPr>
          <w:rFonts w:ascii="Times New Roman" w:hAnsi="Times New Roman"/>
        </w:rPr>
      </w:pPr>
      <w:r>
        <w:rPr/>
        <w:t>Приложение</w:t>
      </w:r>
      <w:r>
        <w:rPr>
          <w:spacing w:val="-10"/>
        </w:rPr>
        <w:t xml:space="preserve"> 4</w:t>
      </w:r>
    </w:p>
    <w:p>
      <w:pPr>
        <w:pStyle w:val="BodyTex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</w:r>
    </w:p>
    <w:p>
      <w:pPr>
        <w:pStyle w:val="BodyText"/>
        <w:spacing w:before="6" w:after="0"/>
        <w:ind w:hanging="0" w:left="81" w:right="64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Федеральное государственное бюджетное учреждение «Федеральный научно-клинический центр физико-химической медицины имени академика Ю.М. Лопухина Федерального медико-биологического </w:t>
      </w:r>
      <w:r>
        <w:rPr>
          <w:rFonts w:ascii="Times New Roman" w:hAnsi="Times New Roman"/>
          <w:b/>
          <w:lang w:val="ru-RU"/>
        </w:rPr>
        <w:t>агентства</w:t>
      </w:r>
      <w:r>
        <w:rPr>
          <w:rFonts w:ascii="Times New Roman" w:hAnsi="Times New Roman"/>
          <w:b/>
        </w:rPr>
        <w:t xml:space="preserve">» </w:t>
      </w:r>
    </w:p>
    <w:p>
      <w:pPr>
        <w:pStyle w:val="BodyText"/>
        <w:ind w:hanging="0" w:left="81" w:right="645"/>
        <w:jc w:val="center"/>
        <w:rPr>
          <w:rFonts w:ascii="Times New Roman" w:hAnsi="Times New Roman"/>
          <w:spacing w:val="-2"/>
        </w:rPr>
      </w:pPr>
      <w:r>
        <w:rPr>
          <w:rFonts w:ascii="Times New Roman" w:hAnsi="Times New Roman"/>
          <w:spacing w:val="-2"/>
        </w:rPr>
        <mc:AlternateContent>
          <mc:Choice Requires="wps">
            <w:drawing>
              <wp:anchor behindDoc="1" distT="0" distB="0" distL="0" distR="0" simplePos="0" locked="0" layoutInCell="0" allowOverlap="1" relativeHeight="2">
                <wp:simplePos x="0" y="0"/>
                <wp:positionH relativeFrom="page">
                  <wp:posOffset>859790</wp:posOffset>
                </wp:positionH>
                <wp:positionV relativeFrom="paragraph">
                  <wp:posOffset>194945</wp:posOffset>
                </wp:positionV>
                <wp:extent cx="5602605" cy="3175"/>
                <wp:effectExtent l="0" t="3810" r="0" b="0"/>
                <wp:wrapTopAndBottom/>
                <wp:docPr id="1" name="Graphic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02680" cy="3240"/>
                        </a:xfrm>
                        <a:custGeom>
                          <a:avLst/>
                          <a:gdLst>
                            <a:gd name="textAreaLeft" fmla="*/ 0 w 3176280"/>
                            <a:gd name="textAreaRight" fmla="*/ 3177720 w 3176280"/>
                            <a:gd name="textAreaTop" fmla="*/ 0 h 1800"/>
                            <a:gd name="textAreaBottom" fmla="*/ 3240 h 1800"/>
                          </a:gdLst>
                          <a:ahLst/>
                          <a:rect l="textAreaLeft" t="textAreaTop" r="textAreaRight" b="textAreaBottom"/>
                          <a:pathLst>
                            <a:path w="5600700" h="0">
                              <a:moveTo>
                                <a:pt x="0" y="0"/>
                              </a:moveTo>
                              <a:lnTo>
                                <a:pt x="5600700" y="0"/>
                              </a:lnTo>
                            </a:path>
                          </a:pathLst>
                        </a:custGeom>
                        <a:noFill/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BodyTex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hanging="0" w:left="0" w:right="1270"/>
        <w:jc w:val="right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УТВЕРЖДЕНО</w:t>
      </w:r>
    </w:p>
    <w:p>
      <w:pPr>
        <w:pStyle w:val="BodyText"/>
        <w:spacing w:before="134" w:after="0"/>
        <w:ind w:hanging="0" w:left="0" w:right="1275"/>
        <w:jc w:val="right"/>
        <w:rPr>
          <w:rFonts w:ascii="Times New Roman" w:hAnsi="Times New Roman"/>
          <w:spacing w:val="-4"/>
        </w:rPr>
      </w:pPr>
      <w:r>
        <w:rPr>
          <w:rFonts w:ascii="Times New Roman" w:hAnsi="Times New Roman"/>
          <w:spacing w:val="-4"/>
        </w:rPr>
      </w:r>
    </w:p>
    <w:p>
      <w:pPr>
        <w:pStyle w:val="BodyText"/>
        <w:ind w:hanging="0" w:left="0" w:right="127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заместитель генерального директора </w:t>
      </w:r>
    </w:p>
    <w:p>
      <w:pPr>
        <w:pStyle w:val="BodyText"/>
        <w:ind w:hanging="0" w:left="0" w:right="127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ФНКЦ ФХМ им. Ю.М. Лопухина ФМБА России</w:t>
      </w:r>
    </w:p>
    <w:p>
      <w:pPr>
        <w:pStyle w:val="BodyText"/>
        <w:ind w:hanging="0" w:left="0" w:right="127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чл.-корр, д.м.н.,</w:t>
      </w:r>
    </w:p>
    <w:p>
      <w:pPr>
        <w:pStyle w:val="BodyText"/>
        <w:ind w:hanging="0" w:left="0" w:right="127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Загайнова Е.В.</w:t>
      </w:r>
    </w:p>
    <w:p>
      <w:pPr>
        <w:pStyle w:val="BodyTex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Heading1"/>
        <w:widowControl w:val="false"/>
        <w:bidi w:val="0"/>
        <w:spacing w:lineRule="auto" w:line="240" w:before="0" w:after="0"/>
        <w:ind w:hanging="0" w:left="0" w:right="0"/>
        <w:jc w:val="center"/>
        <w:rPr>
          <w:rFonts w:ascii="Times New Roman" w:hAnsi="Times New Roman"/>
        </w:rPr>
      </w:pPr>
      <w:bookmarkStart w:id="0" w:name="%252525252525D0%252525252525A0%252525252"/>
      <w:bookmarkEnd w:id="0"/>
      <w:r>
        <w:rPr/>
        <w:t xml:space="preserve">Рабочая программа </w:t>
      </w:r>
      <w:r>
        <w:rPr>
          <w:spacing w:val="-2"/>
        </w:rPr>
        <w:t>дисциплины</w:t>
      </w:r>
    </w:p>
    <w:p>
      <w:pPr>
        <w:pStyle w:val="BodyText"/>
        <w:widowControl w:val="false"/>
        <w:suppressAutoHyphens w:val="true"/>
        <w:bidi w:val="0"/>
        <w:spacing w:lineRule="auto" w:line="240" w:before="127" w:after="0"/>
        <w:ind w:hanging="0" w:left="0" w:right="0"/>
        <w:jc w:val="center"/>
        <w:rPr>
          <w:rFonts w:ascii="Times New Roman" w:hAnsi="Times New Roman"/>
          <w:lang w:val="ru-RU"/>
        </w:rPr>
      </w:pPr>
      <w:r>
        <w:rPr>
          <w:rFonts w:ascii="Times New Roman" w:hAnsi="Times New Roman"/>
          <w:spacing w:val="-2"/>
          <w:lang w:val="ru-RU"/>
        </w:rPr>
        <w:t>Общественное здоровье и здравоохранение</w:t>
      </w:r>
    </w:p>
    <w:p>
      <w:pPr>
        <w:pStyle w:val="BodyText"/>
        <w:spacing w:before="275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widowControl w:val="false"/>
        <w:bidi w:val="0"/>
        <w:spacing w:lineRule="auto" w:line="259" w:before="1" w:after="7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Уровень</w:t>
      </w:r>
      <w:r>
        <w:rPr>
          <w:rFonts w:ascii="Times New Roman" w:hAnsi="Times New Roman"/>
          <w:spacing w:val="-15"/>
        </w:rPr>
        <w:t xml:space="preserve"> </w:t>
      </w:r>
      <w:r>
        <w:rPr>
          <w:rFonts w:ascii="Times New Roman" w:hAnsi="Times New Roman"/>
        </w:rPr>
        <w:t>высшего</w:t>
      </w:r>
      <w:r>
        <w:rPr>
          <w:rFonts w:ascii="Times New Roman" w:hAnsi="Times New Roman"/>
          <w:spacing w:val="-15"/>
        </w:rPr>
        <w:t xml:space="preserve"> о</w:t>
      </w:r>
      <w:r>
        <w:rPr>
          <w:rFonts w:ascii="Times New Roman" w:hAnsi="Times New Roman"/>
        </w:rPr>
        <w:t xml:space="preserve">бразования </w:t>
      </w:r>
    </w:p>
    <w:p>
      <w:pPr>
        <w:pStyle w:val="BodyText"/>
        <w:widowControl w:val="false"/>
        <w:bidi w:val="0"/>
        <w:spacing w:lineRule="auto" w:line="259" w:before="1" w:after="7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Ординатура</w:t>
      </w:r>
    </w:p>
    <w:p>
      <w:pPr>
        <w:pStyle w:val="BodyText"/>
        <w:spacing w:lineRule="exact" w:line="20"/>
        <w:ind w:hanging="0" w:left="2482" w:righ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spacing w:before="260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widowControl w:val="false"/>
        <w:bidi w:val="0"/>
        <w:spacing w:lineRule="auto" w:line="240" w:before="1" w:after="0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Направление</w:t>
      </w:r>
      <w:r>
        <w:rPr>
          <w:rFonts w:ascii="Times New Roman" w:hAnsi="Times New Roman"/>
          <w:spacing w:val="-10"/>
        </w:rPr>
        <w:t xml:space="preserve"> </w:t>
      </w:r>
      <w:r>
        <w:rPr>
          <w:rFonts w:ascii="Times New Roman" w:hAnsi="Times New Roman"/>
        </w:rPr>
        <w:t>подготовки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</w:rPr>
        <w:t>/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  <w:spacing w:val="-2"/>
        </w:rPr>
        <w:t>специальность</w:t>
      </w:r>
    </w:p>
    <w:p>
      <w:pPr>
        <w:pStyle w:val="BodyText"/>
        <w:widowControl w:val="false"/>
        <w:bidi w:val="0"/>
        <w:spacing w:lineRule="auto" w:line="240" w:before="26" w:after="0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  <w:lang w:val="ru-RU"/>
        </w:rPr>
        <w:t>31.08.</w:t>
      </w:r>
      <w:r>
        <w:rPr>
          <w:rFonts w:ascii="Times New Roman" w:hAnsi="Times New Roman"/>
          <w:lang w:val="ru-RU"/>
        </w:rPr>
        <w:t>0</w:t>
      </w:r>
      <w:r>
        <w:rPr>
          <w:rFonts w:ascii="Times New Roman" w:hAnsi="Times New Roman"/>
          <w:lang w:val="ru-RU"/>
        </w:rPr>
        <w:t>9</w:t>
      </w:r>
      <w:r>
        <w:rPr>
          <w:rFonts w:ascii="Times New Roman" w:hAnsi="Times New Roman"/>
        </w:rPr>
        <w:t xml:space="preserve"> - </w:t>
      </w:r>
      <w:r>
        <w:rPr>
          <w:rFonts w:ascii="Times New Roman" w:hAnsi="Times New Roman"/>
          <w:spacing w:val="-2"/>
          <w:lang w:val="ru-RU"/>
        </w:rPr>
        <w:t>Рентгенология</w:t>
      </w:r>
    </w:p>
    <w:p>
      <w:pPr>
        <w:pStyle w:val="BodyText"/>
        <w:spacing w:before="275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widowControl w:val="false"/>
        <w:suppressAutoHyphens w:val="true"/>
        <w:bidi w:val="0"/>
        <w:spacing w:lineRule="auto" w:line="240" w:before="1" w:after="0"/>
        <w:ind w:hanging="0" w:left="57" w:righ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Направленность</w:t>
      </w:r>
      <w:r>
        <w:rPr>
          <w:rFonts w:ascii="Times New Roman" w:hAnsi="Times New Roman"/>
          <w:spacing w:val="-15"/>
        </w:rPr>
        <w:t xml:space="preserve"> </w:t>
      </w:r>
      <w:r>
        <w:rPr>
          <w:rFonts w:ascii="Times New Roman" w:hAnsi="Times New Roman"/>
        </w:rPr>
        <w:t>образовательной</w:t>
      </w:r>
      <w:r>
        <w:rPr>
          <w:rFonts w:ascii="Times New Roman" w:hAnsi="Times New Roman"/>
          <w:spacing w:val="-14"/>
        </w:rPr>
        <w:t xml:space="preserve"> </w:t>
      </w:r>
      <w:r>
        <w:rPr>
          <w:rFonts w:ascii="Times New Roman" w:hAnsi="Times New Roman"/>
          <w:spacing w:val="-2"/>
        </w:rPr>
        <w:t>программы</w:t>
      </w:r>
    </w:p>
    <w:p>
      <w:pPr>
        <w:pStyle w:val="BodyText"/>
        <w:widowControl w:val="false"/>
        <w:bidi w:val="0"/>
        <w:spacing w:lineRule="auto" w:line="240" w:before="26" w:after="0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  <w:spacing w:val="-2"/>
          <w:lang w:val="ru-RU"/>
        </w:rPr>
        <w:t>Рентгенология</w:t>
      </w:r>
    </w:p>
    <w:p>
      <w:pPr>
        <w:pStyle w:val="BodyText"/>
        <w:spacing w:before="275" w:after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widowControl w:val="false"/>
        <w:suppressAutoHyphens w:val="true"/>
        <w:bidi w:val="0"/>
        <w:spacing w:lineRule="auto" w:line="259" w:before="1" w:after="7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Форма</w:t>
      </w:r>
      <w:r>
        <w:rPr>
          <w:rFonts w:ascii="Times New Roman" w:hAnsi="Times New Roman"/>
          <w:spacing w:val="-15"/>
        </w:rPr>
        <w:t xml:space="preserve"> </w:t>
      </w:r>
      <w:r>
        <w:rPr>
          <w:rFonts w:ascii="Times New Roman" w:hAnsi="Times New Roman"/>
        </w:rPr>
        <w:t xml:space="preserve">обучения </w:t>
      </w:r>
    </w:p>
    <w:p>
      <w:pPr>
        <w:pStyle w:val="BodyText"/>
        <w:widowControl w:val="false"/>
        <w:suppressAutoHyphens w:val="true"/>
        <w:bidi w:val="0"/>
        <w:spacing w:lineRule="auto" w:line="259" w:before="1" w:after="7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  <w:spacing w:val="-2"/>
        </w:rPr>
        <w:t>очная</w:t>
      </w:r>
    </w:p>
    <w:p>
      <w:pPr>
        <w:pStyle w:val="BodyText"/>
        <w:spacing w:lineRule="exact" w:line="20"/>
        <w:ind w:hanging="0" w:left="2482" w:right="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widowControl w:val="false"/>
        <w:bidi w:val="0"/>
        <w:spacing w:lineRule="auto" w:line="446" w:before="0" w:after="0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г. Москва</w:t>
      </w:r>
    </w:p>
    <w:p>
      <w:pPr>
        <w:pStyle w:val="BodyText"/>
        <w:widowControl w:val="false"/>
        <w:bidi w:val="0"/>
        <w:spacing w:lineRule="auto" w:line="446" w:before="0" w:after="0"/>
        <w:ind w:hanging="0" w:left="0" w:right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2025</w:t>
      </w:r>
      <w:r>
        <w:rPr>
          <w:rFonts w:ascii="Times New Roman" w:hAnsi="Times New Roman"/>
          <w:spacing w:val="-12"/>
        </w:rPr>
        <w:t xml:space="preserve"> </w:t>
      </w:r>
      <w:r>
        <w:rPr>
          <w:rFonts w:ascii="Times New Roman" w:hAnsi="Times New Roman"/>
        </w:rPr>
        <w:t>год</w:t>
      </w:r>
      <w:r>
        <w:rPr>
          <w:rFonts w:ascii="Times New Roman" w:hAnsi="Times New Roman"/>
          <w:spacing w:val="-13"/>
        </w:rPr>
        <w:t xml:space="preserve"> </w:t>
      </w:r>
    </w:p>
    <w:p>
      <w:pPr>
        <w:pStyle w:val="Normal"/>
        <w:spacing w:before="0" w:after="200"/>
        <w:ind w:hanging="240" w:left="240" w:righ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numPr>
          <w:ilvl w:val="0"/>
          <w:numId w:val="1"/>
        </w:numPr>
        <w:spacing w:before="0" w:after="200"/>
        <w:ind w:hanging="240" w:left="24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Место дисциплины в структуре ОПОП</w:t>
      </w:r>
    </w:p>
    <w:p>
      <w:pPr>
        <w:pStyle w:val="Normal"/>
        <w:spacing w:lineRule="auto" w:line="252" w:before="0" w:after="558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Дисциплина Б1.О.02 Общественное здоровье и здравоохранение относится к обязательной части образовательной программы.</w:t>
      </w:r>
    </w:p>
    <w:p>
      <w:pPr>
        <w:pStyle w:val="Normal"/>
        <w:numPr>
          <w:ilvl w:val="0"/>
          <w:numId w:val="1"/>
        </w:numPr>
        <w:spacing w:before="0" w:after="150"/>
        <w:ind w:hanging="240" w:left="24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 xml:space="preserve">Планируемые результаты обучения по дисциплине, соотнесенные с планируемымирезультатами освоения образовательной программы (компетенциями и индикаторами достижения компетенций) </w:t>
      </w:r>
    </w:p>
    <w:tbl>
      <w:tblPr>
        <w:tblStyle w:val="TableGrid"/>
        <w:tblW w:w="10606" w:type="dxa"/>
        <w:jc w:val="left"/>
        <w:tblInd w:w="0" w:type="dxa"/>
        <w:tblLayout w:type="fixed"/>
        <w:tblCellMar>
          <w:top w:w="13" w:type="dxa"/>
          <w:left w:w="37" w:type="dxa"/>
          <w:bottom w:w="0" w:type="dxa"/>
          <w:right w:w="106" w:type="dxa"/>
        </w:tblCellMar>
        <w:tblLook w:firstRow="1" w:noVBand="1" w:lastRow="0" w:firstColumn="1" w:lastColumn="0" w:noHBand="0" w:val="04a0"/>
      </w:tblPr>
      <w:tblGrid>
        <w:gridCol w:w="1842"/>
        <w:gridCol w:w="2404"/>
        <w:gridCol w:w="2552"/>
        <w:gridCol w:w="1848"/>
        <w:gridCol w:w="1960"/>
      </w:tblGrid>
      <w:tr>
        <w:trPr>
          <w:trHeight w:val="808" w:hRule="atLeast"/>
        </w:trPr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59" w:before="0" w:after="0"/>
              <w:ind w:hanging="0" w:left="18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Формируемые компетенции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8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0"/>
                <w:szCs w:val="22"/>
                <w:lang w:val="en-US" w:eastAsia="en-US" w:bidi="ar-SA"/>
              </w:rPr>
              <w:t>(код, содержание компетенции)</w:t>
            </w:r>
          </w:p>
        </w:tc>
        <w:tc>
          <w:tcPr>
            <w:tcW w:w="49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30" w:right="3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Планируемые результаты обучения по дисциплине (модулю), в соответствии с индикатором достижения компетенции</w:t>
            </w:r>
          </w:p>
        </w:tc>
        <w:tc>
          <w:tcPr>
            <w:tcW w:w="3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3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Наименование оценочного средства</w:t>
            </w:r>
          </w:p>
        </w:tc>
      </w:tr>
      <w:tr>
        <w:trPr>
          <w:trHeight w:val="934" w:hRule="atLeast"/>
        </w:trPr>
        <w:tc>
          <w:tcPr>
            <w:tcW w:w="1842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18" w:before="0" w:after="0"/>
              <w:ind w:hanging="0" w:left="74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Индикатор достижения компетенции</w:t>
            </w:r>
          </w:p>
          <w:p>
            <w:pPr>
              <w:pStyle w:val="Normal"/>
              <w:widowControl/>
              <w:tabs>
                <w:tab w:val="clear" w:pos="720"/>
                <w:tab w:val="center" w:pos="848" w:leader="none"/>
                <w:tab w:val="right" w:pos="2267" w:leader="none"/>
              </w:tabs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0"/>
                <w:szCs w:val="22"/>
                <w:lang w:val="en-US" w:eastAsia="en-US" w:bidi="ar-SA"/>
              </w:rPr>
              <w:t>(код,</w:t>
              <w:tab/>
              <w:t xml:space="preserve"> </w:t>
              <w:tab/>
              <w:t>содержание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4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0"/>
                <w:szCs w:val="22"/>
                <w:lang w:val="en-US" w:eastAsia="en-US" w:bidi="ar-SA"/>
              </w:rPr>
              <w:t>индикатора)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16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Результаты обучения по дисциплине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tabs>
                <w:tab w:val="clear" w:pos="720"/>
                <w:tab w:val="center" w:pos="618" w:leader="none"/>
                <w:tab w:val="right" w:pos="1705" w:leader="none"/>
              </w:tabs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Для</w:t>
              <w:tab/>
              <w:t xml:space="preserve"> </w:t>
              <w:tab/>
              <w:t>текущего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контроля успеваемости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Для промежуточной аттестации</w:t>
            </w:r>
          </w:p>
        </w:tc>
      </w:tr>
      <w:tr>
        <w:trPr>
          <w:trHeight w:val="9850" w:hRule="atLeast"/>
        </w:trPr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6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УК-3: Способен руководить работой команды врачей, среднего и младшего медицинского персонала, организовывать процесс оказания медицинской помощи населению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90" w:before="0" w:after="0"/>
              <w:ind w:hanging="0" w:left="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УК-3.1: Формирует стратегию командной работы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6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УК-3.2: Руководит работой команды врачей, среднего и младшего медицинского персонала в процессе оказания  медицинской помощи населению УК-3.3: Решает проблемы возникшие внутри команды в процессе оказания медицинской помощи населению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УК-3.1:</w:t>
            </w:r>
          </w:p>
          <w:p>
            <w:pPr>
              <w:pStyle w:val="Normal"/>
              <w:widowControl/>
              <w:suppressAutoHyphens w:val="true"/>
              <w:spacing w:lineRule="auto" w:line="29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способы формирования стратегии командной работы уметь формировать стратегию командной работы</w:t>
            </w:r>
          </w:p>
          <w:p>
            <w:pPr>
              <w:pStyle w:val="Normal"/>
              <w:widowControl/>
              <w:suppressAutoHyphens w:val="true"/>
              <w:spacing w:lineRule="auto" w:line="290" w:before="0" w:after="378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Владеть методами формирование стратегии командной работы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УК-3.2:</w:t>
            </w:r>
          </w:p>
          <w:p>
            <w:pPr>
              <w:pStyle w:val="Normal"/>
              <w:widowControl/>
              <w:suppressAutoHyphens w:val="true"/>
              <w:spacing w:lineRule="auto" w:line="290" w:before="0" w:after="378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способы руководства работы команды врачей среднего и младшего медицинского персонала в процессе оказания медицинской помощи населению уметь руководить работы команды врачей среднего и младшего медицинского персонала в процессе оказания медицинской помощи населению владеть методами руководство работы команды врачей среднего и младшего медицинского персонала в процессе оказания медицинской помощи населению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УК-3.3: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способы решения проблемы возникшие внутри команды в процессе оказания медицинской помощи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Реферат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Задачи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68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Зачёт: Контрольные вопросы Тест</w:t>
            </w:r>
          </w:p>
        </w:tc>
      </w:tr>
    </w:tbl>
    <w:p>
      <w:pPr>
        <w:pStyle w:val="Normal"/>
        <w:spacing w:before="0" w:after="0"/>
        <w:ind w:hanging="0" w:left="-994" w:right="11332"/>
        <w:rPr>
          <w:rFonts w:ascii="Times New Roman" w:hAnsi="Times New Roman"/>
        </w:rPr>
      </w:pPr>
      <w:r>
        <w:rPr>
          <w:rFonts w:ascii="Times New Roman" w:hAnsi="Times New Roman"/>
        </w:rPr>
      </w:r>
    </w:p>
    <w:tbl>
      <w:tblPr>
        <w:tblStyle w:val="TableGrid"/>
        <w:tblW w:w="10128" w:type="dxa"/>
        <w:jc w:val="left"/>
        <w:tblInd w:w="0" w:type="dxa"/>
        <w:tblLayout w:type="fixed"/>
        <w:tblCellMar>
          <w:top w:w="12" w:type="dxa"/>
          <w:left w:w="37" w:type="dxa"/>
          <w:bottom w:w="0" w:type="dxa"/>
          <w:right w:w="115" w:type="dxa"/>
        </w:tblCellMar>
        <w:tblLook w:firstRow="1" w:noVBand="1" w:lastRow="0" w:firstColumn="1" w:lastColumn="0" w:noHBand="0" w:val="04a0"/>
      </w:tblPr>
      <w:tblGrid>
        <w:gridCol w:w="1842"/>
        <w:gridCol w:w="2404"/>
        <w:gridCol w:w="2549"/>
        <w:gridCol w:w="1851"/>
        <w:gridCol w:w="1482"/>
      </w:tblGrid>
      <w:tr>
        <w:trPr>
          <w:trHeight w:val="2808" w:hRule="atLeast"/>
        </w:trPr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населению уметь решать проблемы возникшие внутри команды в процессе оказания медицинской помощи населению владеть способом решения проблем возникших внутри команды в процессе оказания медицинской помощи населению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11734" w:hRule="atLeast"/>
        </w:trPr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6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УК-4: Способен выстраивать взаимодействие в рамках своей профессиональной деятельности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90" w:before="0" w:after="0"/>
              <w:ind w:hanging="0" w:left="10" w:right="102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УК-4.1: Выбирает стиль общения для выстраивания взаимодействия в рамках своей профессиональной деятельности УК-4.2: Использует современные средства коммуникации для передачи информации в рамках своей  профессиональной деятельности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УК-4.3: Профилактирует и решает возникшие конфликты в рамках своей профессиональной деятельности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УК-4.1:</w:t>
            </w:r>
          </w:p>
          <w:p>
            <w:pPr>
              <w:pStyle w:val="Normal"/>
              <w:widowControl/>
              <w:suppressAutoHyphens w:val="true"/>
              <w:spacing w:lineRule="auto" w:line="290" w:before="0" w:after="378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стили общения для выстраивание взаимодействия в рамках своей профессиональной деятельности уметь выбирать стили общения для выстраивание взаимодействий в рамках своей профессиональной деятельности владеть способами выбора стили общения для выстраивание взаимодействия в рамках своей профессиональной деятельности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УК-4.2:</w:t>
            </w:r>
          </w:p>
          <w:p>
            <w:pPr>
              <w:pStyle w:val="Normal"/>
              <w:widowControl/>
              <w:suppressAutoHyphens w:val="true"/>
              <w:spacing w:lineRule="auto" w:line="290" w:before="0" w:after="378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современные средства коммуникации для передачи информации в рамках своей профессиональной деятельности уметь использовать современные средства коммуникации для передачи информации в рамках своей профессиональной деятельности владеть навыками использование современных средств коммуникации для передачи информации в рамках своей профессиональной деятельности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УК-4.3: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способы профилактики решение возникших конфликтов в рамках своей профессиональной деятельности уметь профилактировать и решать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Реферат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Задачи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Зачёт: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Тест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Контрольные вопросы</w:t>
            </w:r>
          </w:p>
        </w:tc>
      </w:tr>
    </w:tbl>
    <w:p>
      <w:pPr>
        <w:pStyle w:val="Normal"/>
        <w:spacing w:before="0" w:after="0"/>
        <w:ind w:hanging="0" w:left="-994" w:right="11332"/>
        <w:rPr>
          <w:rFonts w:ascii="Times New Roman" w:hAnsi="Times New Roman"/>
        </w:rPr>
      </w:pPr>
      <w:r>
        <w:rPr>
          <w:rFonts w:ascii="Times New Roman" w:hAnsi="Times New Roman"/>
        </w:rPr>
      </w:r>
    </w:p>
    <w:tbl>
      <w:tblPr>
        <w:tblStyle w:val="TableGrid"/>
        <w:tblW w:w="10128" w:type="dxa"/>
        <w:jc w:val="left"/>
        <w:tblInd w:w="0" w:type="dxa"/>
        <w:tblLayout w:type="fixed"/>
        <w:tblCellMar>
          <w:top w:w="12" w:type="dxa"/>
          <w:left w:w="37" w:type="dxa"/>
          <w:bottom w:w="0" w:type="dxa"/>
          <w:right w:w="114" w:type="dxa"/>
        </w:tblCellMar>
        <w:tblLook w:firstRow="1" w:noVBand="1" w:lastRow="0" w:firstColumn="1" w:lastColumn="0" w:noHBand="0" w:val="04a0"/>
      </w:tblPr>
      <w:tblGrid>
        <w:gridCol w:w="1842"/>
        <w:gridCol w:w="2404"/>
        <w:gridCol w:w="2549"/>
        <w:gridCol w:w="1851"/>
        <w:gridCol w:w="1482"/>
      </w:tblGrid>
      <w:tr>
        <w:trPr>
          <w:trHeight w:val="2808" w:hRule="atLeast"/>
        </w:trPr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возникшие конфликты в рамках своей профессиональной деятельности владеть способы профилактики решение возникшей конфликтов в рамках своей профессиональной деятельности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6954" w:hRule="atLeast"/>
        </w:trPr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6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ОПК-2: Способен применять основные принципы организации и управления в сфере охраны здоровья с использованием основных медикостатистических показателей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90" w:before="0" w:after="0"/>
              <w:ind w:hanging="0" w:left="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ОПК-2.1: Применяет основные принципы организации и управления в сфере охраны здоровья граждан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ОПК-2.2: Проводит оценку качества медицинской помощи с использованием основных медико- статистических  показателей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90" w:before="0" w:after="378"/>
              <w:ind w:hanging="0" w:left="0" w:right="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ОПК-2.1: знать принципы организации и управления в сфере охраны здоровья граждан уметь применять основные принципы организации и управления в сфере охраны здоровья граждан владеть основными принципами организации и управления в сфере охраны здоровья граждан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ОПК-2.2: знать основные медикостатистические показатели уметь использовать основные медико-статистические показатели владеть способами проведения оценки качества медицинской помощи с использованием основных медикостатистических показателей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Реферат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Зачёт: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Тест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Контрольные вопросы</w:t>
            </w:r>
          </w:p>
        </w:tc>
      </w:tr>
      <w:tr>
        <w:trPr>
          <w:trHeight w:val="4630" w:hRule="atLeast"/>
        </w:trPr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6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ОПК-9: Способен проводить анализ медикостатистической информации, вести медицинскую документацию и организовывать деятельность находящегося в распоряжении медицинского персонала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16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ОПК-9.1: Проводит анализ медико-статистической информации ОПК-9.2: Ведет медицинскую документацию и организует деятельность находящегося в распоряжении медицинского персонала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ОПК-9.1:</w:t>
            </w:r>
          </w:p>
          <w:p>
            <w:pPr>
              <w:pStyle w:val="Normal"/>
              <w:widowControl/>
              <w:suppressAutoHyphens w:val="true"/>
              <w:spacing w:lineRule="auto" w:line="290" w:before="0" w:after="378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способы проведения анализа медико статистической информации уметь проводить анализ медико статистической информации владеть способы проведения анализа медико статистической информации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ОПК-9.2: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правила ведения медицинской документации и организации деятельности находящегося в распоряжении медицинского персонала уметь ввести медицинскую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Реферат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Зачёт: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Тест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Контрольные вопросы</w:t>
            </w:r>
          </w:p>
        </w:tc>
      </w:tr>
      <w:tr>
        <w:trPr>
          <w:trHeight w:val="2808" w:hRule="atLeast"/>
        </w:trPr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документацию и организации деятельности находящегося в распоряжении медицинского персонала владеть способом ведения медицинской документации и организации деятельности находящегося в распоряжении медицинского персонала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9912" w:hRule="atLeast"/>
        </w:trPr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6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ПК-4: Способен к применению принципов организации деятельности коллектива, к управлению медицинским персоналом, находящимся в его распоряжении, ведению медицинской документации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90" w:before="0" w:after="0"/>
              <w:ind w:hanging="0" w:left="10" w:right="57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ПК-4.1: Применяет принципы организации деятельности коллектива, управляет медицинским персоналом,  находящимся в его распоряжении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ПК-4.2: Ведет медицинскую документацию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90" w:before="0" w:after="378"/>
              <w:ind w:hanging="0" w:left="0" w:right="132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ПК-4.1: знать стиль общения для выстраивания взаимодействия в рамках своей профессиональной деятельности уметь применять стиль общения для выстраивания взаимодействия в рамках своей профессиональной деятельности владеть стилем общения для выстраивания взаимодействия в рамках своей профессиональной деятельности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ПК-4.2: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8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знать современные средства коммуникации для передачи информации в рамках своей профессиональной деятельности уметь применять современные средства коммуникации для передачи информации в рамках своей профессиональной деятельности владеть современными средствами коммуникации для передачи информации в рамках своей профессиональной деятельности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Реферат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Зачёт: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32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Тест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3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kern w:val="0"/>
                <w:sz w:val="18"/>
                <w:szCs w:val="22"/>
                <w:lang w:val="en-US" w:eastAsia="en-US" w:bidi="ar-SA"/>
              </w:rPr>
              <w:t>Контрольные вопросы</w:t>
            </w:r>
          </w:p>
        </w:tc>
      </w:tr>
    </w:tbl>
    <w:p>
      <w:pPr>
        <w:pStyle w:val="Normal"/>
        <w:numPr>
          <w:ilvl w:val="0"/>
          <w:numId w:val="1"/>
        </w:numPr>
        <w:spacing w:before="0" w:after="41"/>
        <w:ind w:hanging="240" w:left="24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 xml:space="preserve">Структура и содержание дисциплины </w:t>
      </w:r>
    </w:p>
    <w:p>
      <w:pPr>
        <w:pStyle w:val="Normal"/>
        <w:numPr>
          <w:ilvl w:val="1"/>
          <w:numId w:val="1"/>
        </w:numPr>
        <w:spacing w:before="0" w:after="0"/>
        <w:ind w:hanging="480" w:left="1200" w:right="0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Трудоемкость дисциплины</w:t>
      </w:r>
    </w:p>
    <w:tbl>
      <w:tblPr>
        <w:tblStyle w:val="TableGrid"/>
        <w:tblW w:w="10204" w:type="dxa"/>
        <w:jc w:val="left"/>
        <w:tblInd w:w="0" w:type="dxa"/>
        <w:tblLayout w:type="fixed"/>
        <w:tblCellMar>
          <w:top w:w="13" w:type="dxa"/>
          <w:left w:w="109" w:type="dxa"/>
          <w:bottom w:w="0" w:type="dxa"/>
          <w:right w:w="115" w:type="dxa"/>
        </w:tblCellMar>
        <w:tblLook w:firstRow="1" w:noVBand="1" w:lastRow="0" w:firstColumn="1" w:lastColumn="0" w:noHBand="0" w:val="04a0"/>
      </w:tblPr>
      <w:tblGrid>
        <w:gridCol w:w="7793"/>
        <w:gridCol w:w="2410"/>
      </w:tblGrid>
      <w:tr>
        <w:trPr>
          <w:trHeight w:val="610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очная</w:t>
            </w:r>
          </w:p>
        </w:tc>
      </w:tr>
      <w:tr>
        <w:trPr>
          <w:trHeight w:val="322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Общая трудоемкость, з.е.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2</w:t>
            </w:r>
          </w:p>
        </w:tc>
      </w:tr>
      <w:tr>
        <w:trPr>
          <w:trHeight w:val="324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Часов по учебному плану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72</w:t>
            </w:r>
          </w:p>
        </w:tc>
      </w:tr>
      <w:tr>
        <w:trPr>
          <w:trHeight w:val="322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0"/>
                <w:szCs w:val="22"/>
                <w:lang w:val="en-US" w:eastAsia="en-US" w:bidi="ar-SA"/>
              </w:rPr>
              <w:t>в том числе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324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аудиторные занятия (контактная работа):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322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- занятия лекционного типа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4</w:t>
            </w:r>
          </w:p>
        </w:tc>
      </w:tr>
      <w:tr>
        <w:trPr>
          <w:trHeight w:val="380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- занятия семинарского типа (практические занятия / лабораторные работы)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24</w:t>
            </w:r>
          </w:p>
        </w:tc>
      </w:tr>
      <w:tr>
        <w:trPr>
          <w:trHeight w:val="380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- КСР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1</w:t>
            </w:r>
          </w:p>
        </w:tc>
      </w:tr>
      <w:tr>
        <w:trPr>
          <w:trHeight w:val="324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самостоятельная работа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43</w:t>
            </w:r>
          </w:p>
        </w:tc>
      </w:tr>
      <w:tr>
        <w:trPr>
          <w:trHeight w:val="622" w:hRule="atLeast"/>
        </w:trPr>
        <w:tc>
          <w:tcPr>
            <w:tcW w:w="7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Промежуточная аттестация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36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0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20"/>
                <w:szCs w:val="22"/>
                <w:lang w:val="en-US" w:eastAsia="en-US" w:bidi="ar-SA"/>
              </w:rPr>
              <w:t>Зачёт</w:t>
            </w:r>
          </w:p>
        </w:tc>
      </w:tr>
    </w:tbl>
    <w:p>
      <w:pPr>
        <w:pStyle w:val="Normal"/>
        <w:numPr>
          <w:ilvl w:val="1"/>
          <w:numId w:val="1"/>
        </w:numPr>
        <w:spacing w:before="0" w:after="1"/>
        <w:ind w:hanging="480" w:left="1200" w:right="0"/>
        <w:rPr>
          <w:rFonts w:ascii="Times New Roman" w:hAnsi="Times New Roman"/>
        </w:rPr>
      </w:pPr>
      <w:r>
        <w:rPr>
          <w:rFonts w:ascii="Times New Roman" w:hAnsi="Times New Roman"/>
          <w:sz w:val="24"/>
          <w:u w:val="single" w:color="000000"/>
        </w:rPr>
        <w:t>Содержание дисциплины</w:t>
      </w:r>
    </w:p>
    <w:p>
      <w:pPr>
        <w:pStyle w:val="Normal"/>
        <w:spacing w:lineRule="auto" w:line="259" w:before="0" w:after="181"/>
        <w:ind w:hanging="0" w:left="0" w:right="0"/>
        <w:rPr>
          <w:rFonts w:ascii="Times New Roman" w:hAnsi="Times New Roman"/>
        </w:rPr>
      </w:pPr>
      <w:r>
        <w:rPr>
          <w:rFonts w:ascii="Times New Roman" w:hAnsi="Times New Roman"/>
          <w:i/>
          <w:sz w:val="24"/>
        </w:rPr>
        <w:t>(структурированное по темам (разделам) с указанием отведенного на них количества академических часов и виды учебных занятий)</w:t>
      </w:r>
    </w:p>
    <w:p>
      <w:pPr>
        <w:pStyle w:val="Normal"/>
        <w:spacing w:before="0" w:after="0"/>
        <w:ind w:hanging="0" w:left="0" w:right="0"/>
        <w:rPr>
          <w:rFonts w:ascii="Times New Roman" w:hAnsi="Times New Roman"/>
        </w:rPr>
      </w:pPr>
      <w:r>
        <w:rPr>
          <w:rFonts w:ascii="Times New Roman" w:hAnsi="Times New Roman"/>
          <w:color w:val="FFF000"/>
        </w:rPr>
        <w:t>.</w:t>
      </w:r>
      <w:r>
        <w:rPr>
          <w:rFonts w:ascii="Times New Roman" w:hAnsi="Times New Roman"/>
        </w:rPr>
        <w:t xml:space="preserve"> </w:t>
      </w:r>
    </w:p>
    <w:tbl>
      <w:tblPr>
        <w:tblStyle w:val="TableGrid"/>
        <w:tblW w:w="10092" w:type="dxa"/>
        <w:jc w:val="left"/>
        <w:tblInd w:w="0" w:type="dxa"/>
        <w:tblLayout w:type="fixed"/>
        <w:tblCellMar>
          <w:top w:w="15" w:type="dxa"/>
          <w:left w:w="30" w:type="dxa"/>
          <w:bottom w:w="0" w:type="dxa"/>
          <w:right w:w="37" w:type="dxa"/>
        </w:tblCellMar>
        <w:tblLook w:firstRow="1" w:noVBand="1" w:lastRow="0" w:firstColumn="1" w:lastColumn="0" w:noHBand="0" w:val="04a0"/>
      </w:tblPr>
      <w:tblGrid>
        <w:gridCol w:w="5039"/>
        <w:gridCol w:w="1106"/>
        <w:gridCol w:w="1107"/>
        <w:gridCol w:w="1175"/>
        <w:gridCol w:w="743"/>
        <w:gridCol w:w="921"/>
      </w:tblGrid>
      <w:tr>
        <w:trPr>
          <w:trHeight w:val="264" w:hRule="atLeast"/>
        </w:trPr>
        <w:tc>
          <w:tcPr>
            <w:tcW w:w="5039" w:type="dxa"/>
            <w:vMerge w:val="restart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7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Наименование разделов и тем дисциплины</w:t>
            </w:r>
          </w:p>
        </w:tc>
        <w:tc>
          <w:tcPr>
            <w:tcW w:w="1106" w:type="dxa"/>
            <w:vMerge w:val="restart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Всего (часы)</w:t>
            </w:r>
          </w:p>
        </w:tc>
        <w:tc>
          <w:tcPr>
            <w:tcW w:w="3025" w:type="dxa"/>
            <w:gridSpan w:val="3"/>
            <w:tcBorders>
              <w:top w:val="single" w:sz="2" w:space="0" w:color="555555"/>
              <w:left w:val="single" w:sz="2" w:space="0" w:color="555555"/>
              <w:bottom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728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в том числе</w:t>
            </w:r>
          </w:p>
        </w:tc>
        <w:tc>
          <w:tcPr>
            <w:tcW w:w="921" w:type="dxa"/>
            <w:tcBorders>
              <w:top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618" w:hRule="atLeast"/>
        </w:trPr>
        <w:tc>
          <w:tcPr>
            <w:tcW w:w="5039" w:type="dxa"/>
            <w:vMerge w:val="continue"/>
            <w:tcBorders>
              <w:left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106" w:type="dxa"/>
            <w:vMerge w:val="continue"/>
            <w:tcBorders>
              <w:left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3025" w:type="dxa"/>
            <w:gridSpan w:val="3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16" w:before="0" w:after="0"/>
              <w:ind w:hanging="0" w:left="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Контактная работа (работа во взаимодействии с преподавателем),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часы из них</w:t>
            </w:r>
          </w:p>
        </w:tc>
        <w:tc>
          <w:tcPr>
            <w:tcW w:w="921" w:type="dxa"/>
            <w:vMerge w:val="restart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16" w:before="0" w:after="0"/>
              <w:ind w:hanging="0" w:left="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Самостоятельная работа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обучающегося, часы</w:t>
            </w:r>
          </w:p>
        </w:tc>
      </w:tr>
      <w:tr>
        <w:trPr>
          <w:trHeight w:val="1320" w:hRule="atLeast"/>
        </w:trPr>
        <w:tc>
          <w:tcPr>
            <w:tcW w:w="5039" w:type="dxa"/>
            <w:vMerge w:val="continue"/>
            <w:tcBorders>
              <w:left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106" w:type="dxa"/>
            <w:vMerge w:val="continue"/>
            <w:tcBorders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Занятия лекционного типа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16" w:before="0" w:after="0"/>
              <w:ind w:hanging="0" w:left="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Занятия семинарского типа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(практические занятия/лабора торные работы), часы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34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Всего</w:t>
            </w:r>
          </w:p>
        </w:tc>
        <w:tc>
          <w:tcPr>
            <w:tcW w:w="921" w:type="dxa"/>
            <w:vMerge w:val="continue"/>
            <w:tcBorders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494" w:hRule="atLeast"/>
        </w:trPr>
        <w:tc>
          <w:tcPr>
            <w:tcW w:w="5039" w:type="dxa"/>
            <w:vMerge w:val="continue"/>
            <w:tcBorders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246" w:right="23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о ф о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427" w:right="41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о ф о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463" w:right="45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о ф о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246" w:right="236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о ф о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539" w:right="52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о ф о</w:t>
            </w:r>
          </w:p>
        </w:tc>
      </w:tr>
      <w:tr>
        <w:trPr>
          <w:trHeight w:val="322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1. Теоретические и организационные основы здравоохранения.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7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0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</w:tr>
      <w:tr>
        <w:trPr>
          <w:trHeight w:val="322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2. Здоровье населения и методы его изучения.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7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0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</w:tr>
      <w:tr>
        <w:trPr>
          <w:trHeight w:val="322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3. Медицинская статистика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8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1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3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</w:tr>
      <w:tr>
        <w:trPr>
          <w:trHeight w:val="546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4. Организация лечебно- профилактической и санитарно- противоэпидемической помощи.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7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0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</w:tr>
      <w:tr>
        <w:trPr>
          <w:trHeight w:val="322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5. Экспертиза трудоспособности в здравоохранении.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10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1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4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</w:tr>
      <w:tr>
        <w:trPr>
          <w:trHeight w:val="322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6. Основы медицинского законодательства и права.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7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0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</w:tr>
      <w:tr>
        <w:trPr>
          <w:trHeight w:val="322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7. Оценка качества лечебно- профилактической помощи.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10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1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4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5</w:t>
            </w:r>
          </w:p>
        </w:tc>
      </w:tr>
      <w:tr>
        <w:trPr>
          <w:trHeight w:val="546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8. Экономика здравоохранения. Основы планирования, маркетинга, управления, экономики и финансирования здравоохранения.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7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1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3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4</w:t>
            </w:r>
          </w:p>
        </w:tc>
      </w:tr>
      <w:tr>
        <w:trPr>
          <w:trHeight w:val="546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Тема 9. Политика в области охраны здоровья. Модернизация здравоохранения.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8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0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4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4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4</w:t>
            </w:r>
          </w:p>
        </w:tc>
      </w:tr>
      <w:tr>
        <w:trPr>
          <w:trHeight w:val="426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Аттестация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0</w:t>
            </w:r>
          </w:p>
        </w:tc>
        <w:tc>
          <w:tcPr>
            <w:tcW w:w="3025" w:type="dxa"/>
            <w:gridSpan w:val="3"/>
            <w:tcBorders>
              <w:top w:val="single" w:sz="2" w:space="0" w:color="555555"/>
              <w:left w:val="single" w:sz="2" w:space="0" w:color="555555"/>
              <w:bottom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921" w:type="dxa"/>
            <w:tcBorders>
              <w:top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424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КСР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1</w:t>
            </w:r>
          </w:p>
        </w:tc>
        <w:tc>
          <w:tcPr>
            <w:tcW w:w="2282" w:type="dxa"/>
            <w:gridSpan w:val="2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1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</w:tr>
      <w:tr>
        <w:trPr>
          <w:trHeight w:val="322" w:hRule="atLeast"/>
        </w:trPr>
        <w:tc>
          <w:tcPr>
            <w:tcW w:w="5039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Итого</w:t>
            </w:r>
          </w:p>
        </w:tc>
        <w:tc>
          <w:tcPr>
            <w:tcW w:w="1106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72</w:t>
            </w:r>
          </w:p>
        </w:tc>
        <w:tc>
          <w:tcPr>
            <w:tcW w:w="1107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4</w:t>
            </w:r>
          </w:p>
        </w:tc>
        <w:tc>
          <w:tcPr>
            <w:tcW w:w="1175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9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24</w:t>
            </w:r>
          </w:p>
        </w:tc>
        <w:tc>
          <w:tcPr>
            <w:tcW w:w="743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29</w:t>
            </w:r>
          </w:p>
        </w:tc>
        <w:tc>
          <w:tcPr>
            <w:tcW w:w="921" w:type="dxa"/>
            <w:tcBorders>
              <w:top w:val="single" w:sz="2" w:space="0" w:color="555555"/>
              <w:left w:val="single" w:sz="2" w:space="0" w:color="555555"/>
              <w:bottom w:val="single" w:sz="2" w:space="0" w:color="555555"/>
              <w:right w:val="single" w:sz="2" w:space="0" w:color="555555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7"/>
                <w:szCs w:val="22"/>
                <w:lang w:val="en-US" w:eastAsia="en-US" w:bidi="ar-SA"/>
              </w:rPr>
              <w:t>43</w:t>
            </w:r>
          </w:p>
        </w:tc>
      </w:tr>
    </w:tbl>
    <w:p>
      <w:pPr>
        <w:pStyle w:val="Normal"/>
        <w:spacing w:before="0" w:after="140"/>
        <w:ind w:hanging="0" w:left="0" w:right="41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</w:r>
    </w:p>
    <w:p>
      <w:pPr>
        <w:pStyle w:val="Normal"/>
        <w:spacing w:before="0" w:after="140"/>
        <w:ind w:hanging="0" w:left="0" w:right="419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Содержание разделов и тем дисциплины</w:t>
      </w:r>
    </w:p>
    <w:p>
      <w:pPr>
        <w:pStyle w:val="Normal"/>
        <w:numPr>
          <w:ilvl w:val="0"/>
          <w:numId w:val="2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«Теоретические и организационные основы здравоохранения» предусматривает изучение: Тема 1.1. Теоретические основы общественного здоровья и здравоохранения.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1.2. Общественное здоровье и здравоохранение как наука и предмет преподавания, ее значение в практической деятельности врача.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1.3. Здравоохранение зарубежных стран. Всемирная организация здравоохранения.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итогам изучения материала готовится конспект на основании соответствующих разделов учебника, конспекта лекционных занятий, интернет-источников.</w:t>
      </w:r>
    </w:p>
    <w:p>
      <w:pPr>
        <w:pStyle w:val="Normal"/>
        <w:numPr>
          <w:ilvl w:val="0"/>
          <w:numId w:val="2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«Здоровье населения и методы его изучения» предусматривает изучение: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2.1. Медицинская демография, ее значение для здравоохранения. Современные демографические проблемы.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2.2. Определение понятия заболеваемости. Методы изучения заболеваемости, их сравнительная характеристика.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2.3. Важнейшие неинфекционные и инфекционные заболевания как медико-социальная проблема: эпидемиология, организация медико-социальной помощи, профилактика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2.4. Физическое развитие.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итогам изучения материала готовится конспект на основании соответствующих разделов учебника, конспекта лекционных занятий, интернет-источников.</w:t>
      </w:r>
    </w:p>
    <w:p>
      <w:pPr>
        <w:pStyle w:val="Normal"/>
        <w:numPr>
          <w:ilvl w:val="0"/>
          <w:numId w:val="2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«Медицинская статистика» предусматривает изучение: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3.1. Методика организации статистического исследования.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3.2. Методы расчета относительных величин, ошибка относительного показателя, оценка достоверности.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3.3. Основные ошибки статистического анализа. Вариационный ряд и его параметры.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3.4. Методы вычисления и оценки физического развития.</w:t>
      </w:r>
    </w:p>
    <w:p>
      <w:pPr>
        <w:pStyle w:val="Normal"/>
        <w:ind w:hanging="10" w:left="-5" w:right="63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3.5. Корреляция и регрессия. Стандартизация относительных величин по прямому методу По итогам изучения материала готовится конспект на основании соответствующих разделов учебника, конспекта лекционных занятий, интернет-источников.</w:t>
      </w:r>
    </w:p>
    <w:p>
      <w:pPr>
        <w:pStyle w:val="Normal"/>
        <w:numPr>
          <w:ilvl w:val="0"/>
          <w:numId w:val="2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«Организация лечебно-профилактической и санитарно- противоэпидемической помощи»предусматривает изучение: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4.1. Принципы охраны здоровья.</w:t>
      </w:r>
    </w:p>
    <w:p>
      <w:pPr>
        <w:pStyle w:val="Normal"/>
        <w:ind w:hanging="10" w:left="-5" w:righ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4.2. Организация лечебно-профилактической помощи взрослому населению. Врач общей практики.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4.3. Системы, виды медицинской помощи, типы медицинских учреждений, номенклатура ЛПУ.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Первичная медико-санитарная помощь в городе. Роль поликлиники.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4.4. Стационарная помощь. Медицинская документация в стационаре Показатели деятельности Тема 4.4. Организация лечебно-профилактической помощи женщинам и детям.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4.5. Укрепление здоровья населения. Медико-социальные аспекты здорового образа жизни.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Гигиеническое обучение и воспитание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итогам изучения материала готовится конспект на основании соответствующих разделов учебника, конспекта лекционных занятий, интернет-источников.</w:t>
      </w:r>
    </w:p>
    <w:p>
      <w:pPr>
        <w:pStyle w:val="Normal"/>
        <w:numPr>
          <w:ilvl w:val="0"/>
          <w:numId w:val="2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«Экспертиза трудоспособности в здравоохранении» предусматривает изучение:</w:t>
      </w:r>
    </w:p>
    <w:p>
      <w:pPr>
        <w:pStyle w:val="Normal"/>
        <w:ind w:hanging="10" w:left="-5" w:right="70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5.1. Основные термины и методология экспертизы трудоспособности. Определение понятий «трудоспособность» и «нетрудоспособность». Виды трудоспособности (общая и профессиональная) и нетрудоспособности (частичная, полная, временная, стойкая).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5.2. Организация экспертизы временной нетрудоспособности. Органы экспертизы трудоспособности в Российской Федерации. Законодательная база экспертизы временной нетрудоспособности в Российской Федерации.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5.3. Основные термины и понятия (ограничение жизнедеятельности, инвалид, инвалидность, медико-социальная экспертиза, реабилитация инвалидов). Принципы и задачи медико-социальной экспертизы. Порядок проведения медико-социальной экспертизы. Нормативно-правовое обеспечение организации медико-социальной экспертизы.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итогам изучения материала готовится конспект на основании соответствующих разделов учебника, конспекта лекционных занятий, интернет-источников.</w:t>
      </w:r>
    </w:p>
    <w:p>
      <w:pPr>
        <w:pStyle w:val="Normal"/>
        <w:numPr>
          <w:ilvl w:val="0"/>
          <w:numId w:val="3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«Основы медицинского законодательства и права» включает рассмотрение вопросов:</w:t>
      </w:r>
    </w:p>
    <w:p>
      <w:pPr>
        <w:pStyle w:val="Normal"/>
        <w:ind w:hanging="10" w:left="-5" w:right="2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6.1. Конституция РФ, Основы законодательства РФ об охране здоровья граждан нормативно-правовые акты, создающие правовую основу охраны здоровья граждан в РФ.</w:t>
      </w:r>
    </w:p>
    <w:p>
      <w:pPr>
        <w:pStyle w:val="Normal"/>
        <w:ind w:hanging="10" w:left="-5" w:right="207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6.2. Правовое обеспечение профессиональной медицинской деятельности. Права и социальная защита медицинских и фармацевтических работников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6.3. Законодательная база медицинского страхования в РФ. Нормативная документация, регламентирующая деятельность в системе обязательного и добровольного медицинского страхования. По итогам изучения материала готовится конспект на основании соответствующих разделов учебника, конспекта лекционных занятий, интернет-источников.</w:t>
      </w:r>
    </w:p>
    <w:p>
      <w:pPr>
        <w:pStyle w:val="Normal"/>
        <w:numPr>
          <w:ilvl w:val="0"/>
          <w:numId w:val="3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«Оценка качества лечебно-профилактической помощи» включает рассмотрение вопросов: Тема 7.1. Основные термины и понятия (качество, качество медицинской помощи, результативность, эффективность, законность, адекватность, удовлетворенность и т.д.)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7.2. Методические подходы к оценке качества медицинской помощи.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7.3. Медико-экономические стандарты. Протоколы ведения больных.</w:t>
      </w:r>
    </w:p>
    <w:p>
      <w:pPr>
        <w:pStyle w:val="Normal"/>
        <w:ind w:hanging="10" w:left="-5" w:right="11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7.4. Виды экспертиз. Гражданско-правовая и экономическая ответственность по результатам экспертизы.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итогам изучения материала готовится конспект на основании соответствующих разделов учебника, конспекта лекционных занятий, интернет-источников.</w:t>
      </w:r>
    </w:p>
    <w:p>
      <w:pPr>
        <w:pStyle w:val="Normal"/>
        <w:numPr>
          <w:ilvl w:val="0"/>
          <w:numId w:val="3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«Экономика здравоохранения. Основы планирования, маркетинга, управления, экономики ифинансирования здравоохранения» предусматривает изучение: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8.1. Основные методы планирования и источники финансирования мероприятий по охране здоровья населения.</w:t>
      </w:r>
    </w:p>
    <w:p>
      <w:pPr>
        <w:pStyle w:val="Normal"/>
        <w:widowControl/>
        <w:suppressAutoHyphens w:val="true"/>
        <w:bidi w:val="0"/>
        <w:spacing w:lineRule="auto" w:line="259" w:before="0" w:after="3"/>
        <w:ind w:hanging="0" w:left="0" w:right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8.2. Ценообразование. Финансирование медицинских учреждений в условиях медицинского страхования.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8.3. Программа государственных гарантий обеспечения населения бесплатной медицинской помощью.</w:t>
      </w:r>
    </w:p>
    <w:p>
      <w:pPr>
        <w:pStyle w:val="Normal"/>
        <w:ind w:hanging="10" w:left="-5" w:right="1636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8.4. Бизнес-планирование объекта здравоохранения. Основные разделы бизнес – плана, их характеристика.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 итогам изучения материала готовится конспект на основании соответствующих разделов учебника, конспекта лекционных занятий, интернет-источников.</w:t>
      </w:r>
    </w:p>
    <w:p>
      <w:pPr>
        <w:pStyle w:val="Normal"/>
        <w:numPr>
          <w:ilvl w:val="0"/>
          <w:numId w:val="3"/>
        </w:numPr>
        <w:ind w:hanging="220" w:left="220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Тема: «Политика в области охраны здоровья. Модернизация здравоохранения» предусматриваетизучение:</w:t>
      </w:r>
    </w:p>
    <w:p>
      <w:pPr>
        <w:pStyle w:val="Normal"/>
        <w:ind w:hanging="10" w:left="-5" w:right="55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9.1. Основные приоритеты политики государства в области охраны здоровья населения.</w:t>
      </w:r>
    </w:p>
    <w:p>
      <w:pPr>
        <w:pStyle w:val="Normal"/>
        <w:spacing w:before="0" w:after="22"/>
        <w:ind w:hanging="10" w:left="-5" w:right="124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Тема 9.2. Основные направления реформирования в Российской Федерации и за рубежом. </w:t>
      </w:r>
    </w:p>
    <w:p>
      <w:pPr>
        <w:pStyle w:val="Normal"/>
        <w:spacing w:before="0" w:after="22"/>
        <w:ind w:hanging="10" w:left="-5" w:right="124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9.3. Многоуровневая система здравоохранения в РФ. Национальный проект «ЗДОРОВЬЕ», проблемы и перспективы.</w:t>
      </w:r>
    </w:p>
    <w:p>
      <w:pPr>
        <w:pStyle w:val="Normal"/>
        <w:numPr>
          <w:ilvl w:val="0"/>
          <w:numId w:val="4"/>
        </w:numPr>
        <w:spacing w:before="0" w:after="0"/>
        <w:ind w:hanging="300" w:left="30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Учебно-методическое обеспечение самостоятельной работы обучающихся</w:t>
      </w:r>
    </w:p>
    <w:p>
      <w:pPr>
        <w:pStyle w:val="Normal"/>
        <w:widowControl/>
        <w:suppressAutoHyphens w:val="true"/>
        <w:bidi w:val="0"/>
        <w:spacing w:lineRule="auto" w:line="218" w:before="0" w:after="351"/>
        <w:ind w:hanging="0" w:left="0" w:right="624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Самостоятельная работа обучающихся включает в себя подготовку к контрольным вопросам и заданиям для текущего контроля и промежуточной аттестации по итогам освоения дисциплины приведенным в п. 5.</w:t>
      </w:r>
    </w:p>
    <w:p>
      <w:pPr>
        <w:pStyle w:val="Normal"/>
        <w:spacing w:lineRule="auto" w:line="252"/>
        <w:ind w:hanging="0" w:left="-5" w:right="1206"/>
        <w:rPr/>
      </w:pPr>
      <w:r>
        <w:rPr/>
      </w:r>
    </w:p>
    <w:p>
      <w:pPr>
        <w:pStyle w:val="Normal"/>
        <w:widowControl/>
        <w:numPr>
          <w:ilvl w:val="0"/>
          <w:numId w:val="4"/>
        </w:numPr>
        <w:suppressAutoHyphens w:val="true"/>
        <w:bidi w:val="0"/>
        <w:spacing w:lineRule="auto" w:line="259" w:before="0" w:after="232"/>
        <w:ind w:hanging="283" w:left="283" w:right="68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Фонд оценочных средств для текущего контроля успеваемости и промежуточной аттестации по дисциплине (модулю</w:t>
      </w:r>
      <w:r>
        <w:rPr>
          <w:rFonts w:ascii="Times New Roman" w:hAnsi="Times New Roman"/>
          <w:sz w:val="24"/>
        </w:rPr>
        <w:t>)</w:t>
      </w:r>
    </w:p>
    <w:p>
      <w:pPr>
        <w:pStyle w:val="Normal"/>
        <w:widowControl/>
        <w:numPr>
          <w:ilvl w:val="1"/>
          <w:numId w:val="4"/>
        </w:numPr>
        <w:suppressAutoHyphens w:val="true"/>
        <w:bidi w:val="0"/>
        <w:spacing w:lineRule="auto" w:line="259" w:before="0" w:after="121"/>
        <w:ind w:hanging="0" w:left="737" w:right="68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задания, необходимые для оценки результатов обучения при проведениитекущего контроля успеваемости с указанием критериев их оценивания: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68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Реферат) для оценки сформированностикомпетенции УК-3: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Управление в системе здравоохранения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624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Реферат) для оценки сформированностикомпетенции УК-4:</w:t>
      </w:r>
    </w:p>
    <w:p>
      <w:pPr>
        <w:pStyle w:val="Normal"/>
        <w:widowControl/>
        <w:suppressAutoHyphens w:val="true"/>
        <w:bidi w:val="0"/>
        <w:spacing w:lineRule="auto" w:line="511" w:before="0" w:after="3"/>
        <w:ind w:hanging="0" w:left="0" w:right="68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Международная практика организации здравоохранения: теория, системы, тенденции развития.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68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Реферат) для оценки сформированностикомпетенции ОПК-2: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Первичная медицинская статистическая документация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Реферат) для оценки сформированностикомпетенции ОПК-9: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Методы изучения и оценка здоровья населения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68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Реферат) для оценки сформированностикомпетенции ПК-4: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Методические подходы к оценке качества медицинской помощи.</w:t>
      </w:r>
    </w:p>
    <w:p>
      <w:pPr>
        <w:pStyle w:val="Normal"/>
        <w:spacing w:before="0" w:after="0"/>
        <w:ind w:hanging="10" w:left="-5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Критерии оценивания (оценочное средство - Реферат)</w:t>
      </w:r>
    </w:p>
    <w:tbl>
      <w:tblPr>
        <w:tblStyle w:val="TableGrid"/>
        <w:tblW w:w="9750" w:type="dxa"/>
        <w:jc w:val="left"/>
        <w:tblInd w:w="0" w:type="dxa"/>
        <w:tblLayout w:type="fixed"/>
        <w:tblCellMar>
          <w:top w:w="10" w:type="dxa"/>
          <w:left w:w="30" w:type="dxa"/>
          <w:bottom w:w="0" w:type="dxa"/>
          <w:right w:w="83" w:type="dxa"/>
        </w:tblCellMar>
        <w:tblLook w:firstRow="1" w:noVBand="1" w:lastRow="0" w:firstColumn="1" w:lastColumn="0" w:noHBand="0" w:val="04a0"/>
      </w:tblPr>
      <w:tblGrid>
        <w:gridCol w:w="2264"/>
        <w:gridCol w:w="7485"/>
      </w:tblGrid>
      <w:tr>
        <w:trPr>
          <w:trHeight w:val="636" w:hRule="atLeast"/>
        </w:trPr>
        <w:tc>
          <w:tcPr>
            <w:tcW w:w="226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57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Оценка</w:t>
            </w:r>
          </w:p>
        </w:tc>
        <w:tc>
          <w:tcPr>
            <w:tcW w:w="748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55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Критерии оценивания</w:t>
            </w:r>
          </w:p>
        </w:tc>
      </w:tr>
      <w:tr>
        <w:trPr>
          <w:trHeight w:val="1476" w:hRule="atLeast"/>
        </w:trPr>
        <w:tc>
          <w:tcPr>
            <w:tcW w:w="226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отлично</w:t>
            </w:r>
          </w:p>
        </w:tc>
        <w:tc>
          <w:tcPr>
            <w:tcW w:w="748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структура и содержание реферата полностью соответствует требованиям, использовано не менее 10 современных дополнительных литературных источников; проведен полный сравнительный анализ и синтез материала, сделаны собственные выводы и рекомендации;</w:t>
            </w:r>
          </w:p>
        </w:tc>
      </w:tr>
      <w:tr>
        <w:trPr>
          <w:trHeight w:val="1188" w:hRule="atLeast"/>
        </w:trPr>
        <w:tc>
          <w:tcPr>
            <w:tcW w:w="226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хорошо</w:t>
            </w:r>
          </w:p>
        </w:tc>
        <w:tc>
          <w:tcPr>
            <w:tcW w:w="748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структура реферата соответствует установленным требованиям, использовано не менее 7-8 современных дополнительных литературных источников, сравнительный анализ неполный, сделаны собственные выводы</w:t>
            </w:r>
          </w:p>
        </w:tc>
      </w:tr>
      <w:tr>
        <w:trPr>
          <w:trHeight w:val="866" w:hRule="atLeast"/>
        </w:trPr>
        <w:tc>
          <w:tcPr>
            <w:tcW w:w="226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удовлетворительно</w:t>
            </w:r>
          </w:p>
        </w:tc>
        <w:tc>
          <w:tcPr>
            <w:tcW w:w="748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нарушение структуры построения реферата, содержание неполное, использовано менее 5 дополнительных литературных источников, отсутствуют самостоятельный анализ и синтез материала, собственные выводы;</w:t>
            </w:r>
          </w:p>
        </w:tc>
      </w:tr>
      <w:tr>
        <w:trPr>
          <w:trHeight w:val="1188" w:hRule="atLeast"/>
        </w:trPr>
        <w:tc>
          <w:tcPr>
            <w:tcW w:w="226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неудовлетворительно</w:t>
            </w:r>
          </w:p>
        </w:tc>
        <w:tc>
          <w:tcPr>
            <w:tcW w:w="748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нарушена структура, содержание не соответствует требованиям, использованы только учебная литература, отсутствуют анализ, синтез материала, выводы.</w:t>
            </w:r>
          </w:p>
        </w:tc>
      </w:tr>
    </w:tbl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94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Задачи) для оценки сформированностикомпетенции УК-3:</w:t>
      </w:r>
    </w:p>
    <w:p>
      <w:pPr>
        <w:pStyle w:val="Normal"/>
        <w:widowControl/>
        <w:suppressAutoHyphens w:val="true"/>
        <w:bidi w:val="0"/>
        <w:spacing w:lineRule="auto" w:line="511" w:before="0" w:after="3"/>
        <w:ind w:hanging="0" w:left="0" w:right="62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МЗ Архангельской области обратился сын гр. Т., 1938 г. р., инвалида 2 группы, страдающей шизофренией, с жалобой на отказ в направлении в круглосуточный стационар по поводу общего заболевания. Гр. Т. проживает одна в арендованной комнате в районе обслуживания иной медицинской организации (другой конец города). Диагноз: дисциркуляторная энцефалопатия 2 Б ст. в вертебробазилярном бассейне, стадия субкомпенсации, когнитивное снижение. Фоновое заболевание -артериальная гипертензия, церебральный атеросклероз. Тугоухость. В разговоре по телефону сын гр. Т. уточнил, что на момент написания жалобы его мать находилась на принудительном лечении в психиатрической больнице.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Задачи) для оценки сформированностикомпетенции УК-4:</w:t>
      </w:r>
    </w:p>
    <w:p>
      <w:pPr>
        <w:pStyle w:val="Normal"/>
        <w:widowControl/>
        <w:suppressAutoHyphens w:val="true"/>
        <w:bidi w:val="0"/>
        <w:spacing w:lineRule="auto" w:line="511" w:before="0" w:after="3"/>
        <w:ind w:hanging="0" w:left="0" w:right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Организация медицинских осмотров несовершеннолетних, в том числе при поступлении в образовательные учреждения и в период обучения, осуществляется на основании приказа МЗ РФ от 21.12.2012 г. № 1346н "О Порядке прохождения несовершеннолетними медицинских осмотров, в том числе при поступлении в образовательные учреждения и в период обучения в них".</w:t>
      </w:r>
    </w:p>
    <w:p>
      <w:pPr>
        <w:pStyle w:val="Normal"/>
        <w:spacing w:before="0" w:after="0"/>
        <w:ind w:hanging="10" w:left="-5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Критерии оценивания (оценочное средство - Задачи)</w:t>
      </w:r>
    </w:p>
    <w:tbl>
      <w:tblPr>
        <w:tblStyle w:val="TableGrid"/>
        <w:tblW w:w="9750" w:type="dxa"/>
        <w:jc w:val="left"/>
        <w:tblInd w:w="0" w:type="dxa"/>
        <w:tblLayout w:type="fixed"/>
        <w:tblCellMar>
          <w:top w:w="10" w:type="dxa"/>
          <w:left w:w="31" w:type="dxa"/>
          <w:bottom w:w="0" w:type="dxa"/>
          <w:right w:w="115" w:type="dxa"/>
        </w:tblCellMar>
        <w:tblLook w:firstRow="1" w:noVBand="1" w:lastRow="0" w:firstColumn="1" w:lastColumn="0" w:noHBand="0" w:val="04a0"/>
      </w:tblPr>
      <w:tblGrid>
        <w:gridCol w:w="966"/>
        <w:gridCol w:w="8783"/>
      </w:tblGrid>
      <w:tr>
        <w:trPr>
          <w:trHeight w:val="636" w:hRule="atLeast"/>
        </w:trPr>
        <w:tc>
          <w:tcPr>
            <w:tcW w:w="966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6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Оценка</w:t>
            </w:r>
          </w:p>
        </w:tc>
        <w:tc>
          <w:tcPr>
            <w:tcW w:w="8783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89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Критерии оценивания</w:t>
            </w:r>
          </w:p>
        </w:tc>
      </w:tr>
      <w:tr>
        <w:trPr>
          <w:trHeight w:val="608" w:hRule="atLeast"/>
        </w:trPr>
        <w:tc>
          <w:tcPr>
            <w:tcW w:w="966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зачтено</w:t>
            </w:r>
          </w:p>
        </w:tc>
        <w:tc>
          <w:tcPr>
            <w:tcW w:w="8783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ординатор правильно решил задачу, дал полный и развернутый ответ</w:t>
            </w:r>
          </w:p>
        </w:tc>
      </w:tr>
      <w:tr>
        <w:trPr>
          <w:trHeight w:val="286" w:hRule="atLeast"/>
        </w:trPr>
        <w:tc>
          <w:tcPr>
            <w:tcW w:w="966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 xml:space="preserve">Не </w:t>
            </w:r>
            <w:r>
              <w:rPr>
                <w:rFonts w:ascii="Times New Roman" w:hAnsi="Times New Roman"/>
                <w:kern w:val="0"/>
                <w:sz w:val="22"/>
                <w:szCs w:val="22"/>
                <w:lang w:val="ru-RU" w:eastAsia="en-US" w:bidi="ar-SA"/>
              </w:rPr>
              <w:t>зачтено</w:t>
            </w:r>
          </w:p>
        </w:tc>
        <w:tc>
          <w:tcPr>
            <w:tcW w:w="8783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обучающийся не справился с предложенной ситуационной задачей, не может правильно интерпретировать ее решение и не справляется с дополнительным заданием.</w:t>
            </w:r>
          </w:p>
        </w:tc>
      </w:tr>
    </w:tbl>
    <w:p>
      <w:pPr>
        <w:pStyle w:val="Normal"/>
        <w:widowControl/>
        <w:numPr>
          <w:ilvl w:val="1"/>
          <w:numId w:val="4"/>
        </w:numPr>
        <w:suppressAutoHyphens w:val="true"/>
        <w:bidi w:val="0"/>
        <w:spacing w:lineRule="auto" w:line="259" w:before="0" w:after="476"/>
        <w:ind w:hanging="0" w:left="737" w:right="624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Описание шкал оценивания результатов обучения по дисциплине при промежуточной аттестации</w:t>
      </w:r>
    </w:p>
    <w:p>
      <w:pPr>
        <w:pStyle w:val="Normal"/>
        <w:spacing w:before="0" w:after="47"/>
        <w:ind w:hanging="10" w:left="240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Шкала оценивания сформированности компетенций</w:t>
      </w:r>
    </w:p>
    <w:tbl>
      <w:tblPr>
        <w:tblStyle w:val="TableGrid"/>
        <w:tblW w:w="9780" w:type="dxa"/>
        <w:jc w:val="left"/>
        <w:tblInd w:w="0" w:type="dxa"/>
        <w:tblLayout w:type="fixed"/>
        <w:tblCellMar>
          <w:top w:w="12" w:type="dxa"/>
          <w:left w:w="109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778"/>
        <w:gridCol w:w="1990"/>
        <w:gridCol w:w="1906"/>
        <w:gridCol w:w="1906"/>
        <w:gridCol w:w="2200"/>
      </w:tblGrid>
      <w:tr>
        <w:trPr>
          <w:trHeight w:val="1304" w:hRule="atLeast"/>
        </w:trPr>
        <w:tc>
          <w:tcPr>
            <w:tcW w:w="17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Уровень сформированности компетенций (индикатора достижения компетенций)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неудовлетворительн о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52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удовлетворительно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3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хорошо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3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отлично</w:t>
            </w:r>
          </w:p>
        </w:tc>
      </w:tr>
      <w:tr>
        <w:trPr>
          <w:trHeight w:val="300" w:hRule="atLeast"/>
        </w:trPr>
        <w:tc>
          <w:tcPr>
            <w:tcW w:w="1778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3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не зачтено</w:t>
            </w:r>
          </w:p>
        </w:tc>
        <w:tc>
          <w:tcPr>
            <w:tcW w:w="60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2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зачтено</w:t>
            </w:r>
          </w:p>
        </w:tc>
      </w:tr>
      <w:tr>
        <w:trPr>
          <w:trHeight w:val="1460" w:hRule="atLeast"/>
        </w:trPr>
        <w:tc>
          <w:tcPr>
            <w:tcW w:w="1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u w:val="single" w:color="000000"/>
                <w:lang w:val="en-US" w:eastAsia="en-US" w:bidi="ar-SA"/>
              </w:rPr>
              <w:t>Знания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Уровень знаний ниже минимальных требований. Имели место грубые ошибки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Минимально допустимый уровень знаний. Допущено много негрубых ошибок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18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Уровень знаний в объеме, соответствующем программе подготовки.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Допущено несколько негрубых ошибок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Уровень знаний в объеме, соответствующем программе подготовки, без ошибок</w:t>
            </w:r>
          </w:p>
        </w:tc>
      </w:tr>
      <w:tr>
        <w:trPr>
          <w:trHeight w:val="1872" w:hRule="atLeast"/>
        </w:trPr>
        <w:tc>
          <w:tcPr>
            <w:tcW w:w="1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u w:val="single" w:color="000000"/>
                <w:lang w:val="en-US" w:eastAsia="en-US" w:bidi="ar-SA"/>
              </w:rPr>
              <w:t>Умения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При решении стандартных задач не продемонстрированы основные умения. Имели место грубые ошибки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Продемонстрированы основные умения. Решены типовые задачи с негрубыми ошибками. Выполнены все задания, но не в полном объеме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Продемонстрированы все основные умения. Решены все основные задачи с негрубыми ошибками. Выполнены все задания в полном объеме, но некоторые с недочетами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Продемонстрированы все основные умения. Решены все основные задачи с отдельными несущественными недочетами, выполнены все задания в полном объеме</w:t>
            </w:r>
          </w:p>
        </w:tc>
      </w:tr>
      <w:tr>
        <w:trPr>
          <w:trHeight w:val="1252" w:hRule="atLeast"/>
        </w:trPr>
        <w:tc>
          <w:tcPr>
            <w:tcW w:w="1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u w:val="single" w:color="000000"/>
                <w:lang w:val="en-US" w:eastAsia="en-US" w:bidi="ar-SA"/>
              </w:rPr>
              <w:t>Навыки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При решении стандартных задач не продемонстрированы базовые навыки. Имели место грубые ошибки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Имеется минимальный набор навыков для решения стандартных задач с некоторыми недочетами</w:t>
            </w:r>
          </w:p>
        </w:tc>
        <w:tc>
          <w:tcPr>
            <w:tcW w:w="1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18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Продемонстрированы базовые навыки при решении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стандартных задач с некоторыми недочетами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Продемонстрированы навыки при решении нестандартных задач без ошибок и недочетов</w:t>
            </w:r>
          </w:p>
        </w:tc>
      </w:tr>
    </w:tbl>
    <w:p>
      <w:pPr>
        <w:pStyle w:val="Normal"/>
        <w:spacing w:before="0" w:after="0"/>
        <w:ind w:hanging="10" w:left="2419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Шкала оценивания при промежуточной аттестации</w:t>
      </w:r>
    </w:p>
    <w:tbl>
      <w:tblPr>
        <w:tblStyle w:val="TableGrid"/>
        <w:tblW w:w="9696" w:type="dxa"/>
        <w:jc w:val="left"/>
        <w:tblInd w:w="0" w:type="dxa"/>
        <w:tblLayout w:type="fixed"/>
        <w:tblCellMar>
          <w:top w:w="17" w:type="dxa"/>
          <w:left w:w="10" w:type="dxa"/>
          <w:bottom w:w="0" w:type="dxa"/>
          <w:right w:w="103" w:type="dxa"/>
        </w:tblCellMar>
        <w:tblLook w:firstRow="1" w:noVBand="1" w:lastRow="0" w:firstColumn="1" w:lastColumn="0" w:noHBand="0" w:val="04a0"/>
      </w:tblPr>
      <w:tblGrid>
        <w:gridCol w:w="987"/>
        <w:gridCol w:w="1560"/>
        <w:gridCol w:w="7149"/>
      </w:tblGrid>
      <w:tr>
        <w:trPr>
          <w:trHeight w:val="330" w:hRule="atLeast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5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-24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Оценка</w:t>
            </w:r>
          </w:p>
        </w:tc>
        <w:tc>
          <w:tcPr>
            <w:tcW w:w="7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4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Уровень подготовки</w:t>
            </w:r>
          </w:p>
        </w:tc>
      </w:tr>
      <w:tr>
        <w:trPr>
          <w:trHeight w:val="642" w:hRule="atLeast"/>
        </w:trPr>
        <w:tc>
          <w:tcPr>
            <w:tcW w:w="98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9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зачтено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отлично</w:t>
            </w:r>
          </w:p>
        </w:tc>
        <w:tc>
          <w:tcPr>
            <w:tcW w:w="7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9" w:righ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Все компетенции (части компетенций), на формирование которых направлена дисциплина, сформированы на уровне не ниже «отлично», при этом хотя бы одна компетенция сформирована на уровне «отлично»</w:t>
            </w:r>
          </w:p>
        </w:tc>
      </w:tr>
      <w:tr>
        <w:trPr>
          <w:trHeight w:val="640" w:hRule="atLeast"/>
        </w:trPr>
        <w:tc>
          <w:tcPr>
            <w:tcW w:w="987" w:type="dxa"/>
            <w:vMerge w:val="continue"/>
            <w:tcBorders>
              <w:left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хорошо</w:t>
            </w:r>
          </w:p>
        </w:tc>
        <w:tc>
          <w:tcPr>
            <w:tcW w:w="7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9" w:righ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Все компетенции (части компетенций), на формирование которых направлена дисциплина, сформированы на уровне не ниже «хорошо», при этом хотя бы одна компетенция сформирована на уровне «хорошо»</w:t>
            </w:r>
          </w:p>
        </w:tc>
      </w:tr>
      <w:tr>
        <w:trPr>
          <w:trHeight w:val="642" w:hRule="atLeast"/>
        </w:trPr>
        <w:tc>
          <w:tcPr>
            <w:tcW w:w="987" w:type="dxa"/>
            <w:vMerge w:val="continue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160"/>
              <w:ind w:hanging="0" w:left="0" w:right="0"/>
              <w:jc w:val="left"/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удовлетворител ьно</w:t>
            </w:r>
          </w:p>
        </w:tc>
        <w:tc>
          <w:tcPr>
            <w:tcW w:w="7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9" w:righ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Все компетенции (части компетенций), на формирование которых направлена дисциплина, сформированы на уровне не ниже «удовлетворительно», при этом хотя бы одна компетенция сформирована на уровне «удовлетворительно»</w:t>
            </w:r>
          </w:p>
        </w:tc>
      </w:tr>
      <w:tr>
        <w:trPr>
          <w:trHeight w:val="433" w:hRule="atLeast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9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не зачтено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1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kern w:val="0"/>
                <w:sz w:val="18"/>
                <w:szCs w:val="22"/>
                <w:lang w:val="en-US" w:eastAsia="en-US" w:bidi="ar-SA"/>
              </w:rPr>
              <w:t>неудовлетворит ельно</w:t>
            </w:r>
          </w:p>
        </w:tc>
        <w:tc>
          <w:tcPr>
            <w:tcW w:w="7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09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18"/>
                <w:szCs w:val="22"/>
                <w:lang w:val="en-US" w:eastAsia="en-US" w:bidi="ar-SA"/>
              </w:rPr>
              <w:t>Хотя бы одна компетенция сформирована на уровне «неудовлетворительно».</w:t>
            </w:r>
          </w:p>
        </w:tc>
      </w:tr>
    </w:tbl>
    <w:p>
      <w:pPr>
        <w:pStyle w:val="Normal"/>
        <w:widowControl/>
        <w:numPr>
          <w:ilvl w:val="1"/>
          <w:numId w:val="4"/>
        </w:numPr>
        <w:suppressAutoHyphens w:val="true"/>
        <w:bidi w:val="0"/>
        <w:spacing w:lineRule="auto" w:line="259" w:before="0" w:after="121"/>
        <w:ind w:hanging="0" w:left="737" w:right="624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контрольные задания или иные материалы, необходимые для оценкирезультатов обучения на промежуточной аттестации с указанием критериев их оценивания: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Контрольные вопросы) для оценкисформированности компетенции</w:t>
      </w:r>
      <w:r>
        <w:rPr>
          <w:rFonts w:ascii="Times New Roman" w:hAnsi="Times New Roman"/>
          <w:sz w:val="24"/>
        </w:rPr>
        <w:t xml:space="preserve"> УК-3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Организация амбулаторно-поликлинической помощи населению РФ.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Контрольные вопросы) для оценкисформированности компетенции</w:t>
      </w:r>
      <w:r>
        <w:rPr>
          <w:rFonts w:ascii="Times New Roman" w:hAnsi="Times New Roman"/>
          <w:sz w:val="24"/>
        </w:rPr>
        <w:t xml:space="preserve"> УК-4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Организация стационарной помощи населению РФ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68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Контрольные вопросы) для оценкисформированности компетенции</w:t>
      </w:r>
      <w:r>
        <w:rPr>
          <w:rFonts w:ascii="Times New Roman" w:hAnsi="Times New Roman"/>
          <w:sz w:val="24"/>
        </w:rPr>
        <w:t xml:space="preserve"> ОПК-2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Организация специализированной медицинской помощи населению РФ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Контрольные вопросы) для оценкисформированности компетенции</w:t>
      </w:r>
      <w:r>
        <w:rPr>
          <w:rFonts w:ascii="Times New Roman" w:hAnsi="Times New Roman"/>
          <w:sz w:val="24"/>
        </w:rPr>
        <w:t xml:space="preserve"> ОПК-9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Экспертиза стойкой нетрудоспособности в РФ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Контрольные вопросы) для оценкисформированности компетенции</w:t>
      </w:r>
      <w:r>
        <w:rPr>
          <w:rFonts w:ascii="Times New Roman" w:hAnsi="Times New Roman"/>
          <w:sz w:val="24"/>
        </w:rPr>
        <w:t xml:space="preserve"> ПК-4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Методические подходы к оценке качества медицинской помощи.</w:t>
      </w:r>
    </w:p>
    <w:p>
      <w:pPr>
        <w:pStyle w:val="Normal"/>
        <w:spacing w:before="0" w:after="0"/>
        <w:ind w:hanging="10" w:left="-5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Критерии оценивания (оценочное средство - Контрольные вопросы)</w:t>
      </w:r>
    </w:p>
    <w:tbl>
      <w:tblPr>
        <w:tblStyle w:val="TableGrid"/>
        <w:tblW w:w="9750" w:type="dxa"/>
        <w:jc w:val="left"/>
        <w:tblInd w:w="0" w:type="dxa"/>
        <w:tblLayout w:type="fixed"/>
        <w:tblCellMar>
          <w:top w:w="10" w:type="dxa"/>
          <w:left w:w="30" w:type="dxa"/>
          <w:bottom w:w="0" w:type="dxa"/>
          <w:right w:w="115" w:type="dxa"/>
        </w:tblCellMar>
        <w:tblLook w:firstRow="1" w:noVBand="1" w:lastRow="0" w:firstColumn="1" w:lastColumn="0" w:noHBand="0" w:val="04a0"/>
      </w:tblPr>
      <w:tblGrid>
        <w:gridCol w:w="1188"/>
        <w:gridCol w:w="8561"/>
      </w:tblGrid>
      <w:tr>
        <w:trPr>
          <w:trHeight w:val="636" w:hRule="atLeast"/>
        </w:trPr>
        <w:tc>
          <w:tcPr>
            <w:tcW w:w="118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89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Оценка</w:t>
            </w:r>
          </w:p>
        </w:tc>
        <w:tc>
          <w:tcPr>
            <w:tcW w:w="8561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88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Критерии оценивания</w:t>
            </w:r>
          </w:p>
        </w:tc>
      </w:tr>
      <w:tr>
        <w:trPr>
          <w:trHeight w:val="1188" w:hRule="atLeast"/>
        </w:trPr>
        <w:tc>
          <w:tcPr>
            <w:tcW w:w="118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зачтено</w:t>
            </w:r>
          </w:p>
        </w:tc>
        <w:tc>
          <w:tcPr>
            <w:tcW w:w="8561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Обучающийся хорошо посещает занятия, на занятиях участвует в обсуждениях, формирует вопросы, высказывает свою точку зрения в дискуссиях. Написал и защитил реферат.</w:t>
            </w:r>
          </w:p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Ответил на вопросы тестирования и зачета.</w:t>
            </w:r>
          </w:p>
        </w:tc>
      </w:tr>
      <w:tr>
        <w:trPr>
          <w:trHeight w:val="896" w:hRule="atLeast"/>
        </w:trPr>
        <w:tc>
          <w:tcPr>
            <w:tcW w:w="1188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не зачтено</w:t>
            </w:r>
          </w:p>
        </w:tc>
        <w:tc>
          <w:tcPr>
            <w:tcW w:w="8561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Частые пропуски занятий, на занятиях не активен. Не написал реферат. Имеет неудовлетворительные результаты тестирования. Не ответил на вопрос зачета.</w:t>
            </w:r>
          </w:p>
        </w:tc>
      </w:tr>
    </w:tbl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Тест) для оценки сформированностикомпетенции</w:t>
      </w:r>
      <w:r>
        <w:rPr>
          <w:rFonts w:ascii="Times New Roman" w:hAnsi="Times New Roman"/>
          <w:sz w:val="24"/>
        </w:rPr>
        <w:t xml:space="preserve"> УК-3</w:t>
      </w:r>
    </w:p>
    <w:p>
      <w:pPr>
        <w:pStyle w:val="Normal"/>
        <w:spacing w:lineRule="auto" w:line="511"/>
        <w:ind w:hanging="10" w:left="-5" w:right="2486"/>
        <w:rPr>
          <w:rFonts w:ascii="Times New Roman" w:hAnsi="Times New Roman"/>
        </w:rPr>
      </w:pPr>
      <w:r>
        <w:rPr>
          <w:rFonts w:ascii="Times New Roman" w:hAnsi="Times New Roman"/>
        </w:rPr>
        <w:t>Эффективность мероприятий первичной и вторичной профилактики определяется в первую очередь: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а) снижением заболеваемости и смертности у лиц трудоспособного возраста</w:t>
      </w:r>
    </w:p>
    <w:p>
      <w:pPr>
        <w:pStyle w:val="Normal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б) снижением заболеваемости и смертности у детей и подростков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в) снижением заболеваемости и смертности у лиц пожилого возраста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г) рациональностью финансовых вложений в систему здравоохранения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д) рациональностью распределения кадровых ресурсов в системе здравоохранения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Тест) для оценки сформированностикомпетенции</w:t>
      </w:r>
      <w:r>
        <w:rPr>
          <w:rFonts w:ascii="Times New Roman" w:hAnsi="Times New Roman"/>
          <w:sz w:val="24"/>
        </w:rPr>
        <w:t xml:space="preserve"> УК-4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Контроль качества оказания услуг медицинскими организациями инициируется: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а) ФФОМС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б) ТФОМС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в) СМО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г) все перечисленное верно</w:t>
      </w:r>
    </w:p>
    <w:p>
      <w:pPr>
        <w:pStyle w:val="Normal"/>
        <w:numPr>
          <w:ilvl w:val="2"/>
          <w:numId w:val="4"/>
        </w:numPr>
        <w:spacing w:before="0" w:after="121"/>
        <w:ind w:hanging="10" w:left="145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Тест) для оценки сформированностикомпетенции</w:t>
      </w:r>
      <w:r>
        <w:rPr>
          <w:rFonts w:ascii="Times New Roman" w:hAnsi="Times New Roman"/>
          <w:sz w:val="24"/>
        </w:rPr>
        <w:t xml:space="preserve"> ОПК-2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К видам медицинской помощи относятся:</w:t>
      </w:r>
    </w:p>
    <w:p>
      <w:pPr>
        <w:pStyle w:val="Normal"/>
        <w:spacing w:lineRule="auto" w:line="511"/>
        <w:ind w:hanging="10" w:left="-5" w:right="1110"/>
        <w:rPr>
          <w:rFonts w:ascii="Times New Roman" w:hAnsi="Times New Roman"/>
        </w:rPr>
      </w:pPr>
      <w:r>
        <w:rPr>
          <w:rFonts w:ascii="Times New Roman" w:hAnsi="Times New Roman"/>
        </w:rPr>
        <w:t>а) первичная медико-санитарная помощь; специализированная, в том числе высокотехнологичная, скорая медицинская помощь; паллиативная медицинская помощь</w:t>
      </w:r>
    </w:p>
    <w:p>
      <w:pPr>
        <w:pStyle w:val="Normal"/>
        <w:spacing w:lineRule="auto" w:line="511"/>
        <w:ind w:hanging="10" w:left="-5" w:right="1096"/>
        <w:rPr>
          <w:rFonts w:ascii="Times New Roman" w:hAnsi="Times New Roman"/>
        </w:rPr>
      </w:pPr>
      <w:r>
        <w:rPr>
          <w:rFonts w:ascii="Times New Roman" w:hAnsi="Times New Roman"/>
        </w:rPr>
        <w:t>б) первичная медико-санитарная помощь; специализированная, в том числе высокотехнологичная, скорая медицинская помощь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в) первичная медико-санитарная помощь; специализированная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г) все перечисленное верно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Тест) для оценки сформированностикомпетенции</w:t>
      </w:r>
      <w:r>
        <w:rPr>
          <w:rFonts w:ascii="Times New Roman" w:hAnsi="Times New Roman"/>
          <w:sz w:val="24"/>
        </w:rPr>
        <w:t xml:space="preserve"> ОПК-9</w:t>
      </w:r>
    </w:p>
    <w:p>
      <w:pPr>
        <w:pStyle w:val="Normal"/>
        <w:spacing w:lineRule="auto" w:line="511"/>
        <w:ind w:hanging="10" w:left="-5" w:right="1113"/>
        <w:rPr>
          <w:rFonts w:ascii="Times New Roman" w:hAnsi="Times New Roman"/>
        </w:rPr>
      </w:pPr>
      <w:r>
        <w:rPr>
          <w:rFonts w:ascii="Times New Roman" w:hAnsi="Times New Roman"/>
        </w:rPr>
        <w:t>Стандарт медицинской помощи включает в себя усредненные показатели частоты предоставления и кратности применения: (верно, все кроме одного)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а) медицинских услуг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б) лекарственных средств, зарегистрированных на территории РФ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в) медицинских изделий, имплантируемых в организм человека; компонентов крови</w:t>
      </w:r>
    </w:p>
    <w:p>
      <w:pPr>
        <w:pStyle w:val="Normal"/>
        <w:spacing w:lineRule="auto" w:line="511"/>
        <w:ind w:hanging="10" w:left="-5" w:right="1790"/>
        <w:rPr>
          <w:rFonts w:ascii="Times New Roman" w:hAnsi="Times New Roman"/>
        </w:rPr>
      </w:pPr>
      <w:r>
        <w:rPr>
          <w:rFonts w:ascii="Times New Roman" w:hAnsi="Times New Roman"/>
        </w:rPr>
        <w:t>г) видов лечебного питания, включая специализированные продукты лечебного питания 15</w:t>
      </w:r>
    </w:p>
    <w:p>
      <w:pPr>
        <w:pStyle w:val="Normal"/>
        <w:spacing w:lineRule="auto" w:line="511"/>
        <w:ind w:hanging="10" w:left="-5" w:right="808"/>
        <w:rPr>
          <w:rFonts w:ascii="Times New Roman" w:hAnsi="Times New Roman"/>
        </w:rPr>
      </w:pPr>
      <w:r>
        <w:rPr>
          <w:rFonts w:ascii="Times New Roman" w:hAnsi="Times New Roman"/>
        </w:rPr>
        <w:t>д) комплекса медицинских вмешательств, сохранение работоспособности пациента и его социальную интеграцию в общество</w:t>
      </w:r>
    </w:p>
    <w:p>
      <w:pPr>
        <w:pStyle w:val="Normal"/>
        <w:widowControl/>
        <w:numPr>
          <w:ilvl w:val="2"/>
          <w:numId w:val="4"/>
        </w:numPr>
        <w:suppressAutoHyphens w:val="true"/>
        <w:bidi w:val="0"/>
        <w:spacing w:lineRule="auto" w:line="259" w:before="0" w:after="121"/>
        <w:ind w:hanging="0" w:left="1474" w:right="73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Типовые задания (оценочное средство - Тест) для оценки сформированностикомпетенции</w:t>
      </w:r>
      <w:r>
        <w:rPr>
          <w:rFonts w:ascii="Times New Roman" w:hAnsi="Times New Roman"/>
          <w:sz w:val="24"/>
        </w:rPr>
        <w:t xml:space="preserve"> ПК-4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Укажите наиболее приоритетное направление структурных преобразований в здравоохранении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а) развитие первичной медико-санитарной помощи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б) развитие сети диспансеров</w:t>
      </w:r>
    </w:p>
    <w:p>
      <w:pPr>
        <w:pStyle w:val="Normal"/>
        <w:spacing w:before="0" w:after="283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в) повышение роли стационаров</w:t>
      </w:r>
    </w:p>
    <w:p>
      <w:pPr>
        <w:pStyle w:val="Normal"/>
        <w:spacing w:before="0" w:after="302"/>
        <w:ind w:hanging="10" w:left="-5" w:right="554"/>
        <w:rPr>
          <w:rFonts w:ascii="Times New Roman" w:hAnsi="Times New Roman"/>
        </w:rPr>
      </w:pPr>
      <w:r>
        <w:rPr>
          <w:rFonts w:ascii="Times New Roman" w:hAnsi="Times New Roman"/>
        </w:rPr>
        <w:t>г) повышение роли санаторно-курортной помощи</w:t>
      </w:r>
    </w:p>
    <w:p>
      <w:pPr>
        <w:pStyle w:val="Normal"/>
        <w:spacing w:before="0" w:after="0"/>
        <w:ind w:hanging="10" w:left="-5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>Критерии оценивания (оценочное средство - Тест)</w:t>
      </w:r>
    </w:p>
    <w:tbl>
      <w:tblPr>
        <w:tblStyle w:val="TableGrid"/>
        <w:tblW w:w="9750" w:type="dxa"/>
        <w:jc w:val="left"/>
        <w:tblInd w:w="0" w:type="dxa"/>
        <w:tblLayout w:type="fixed"/>
        <w:tblCellMar>
          <w:top w:w="10" w:type="dxa"/>
          <w:left w:w="30" w:type="dxa"/>
          <w:bottom w:w="0" w:type="dxa"/>
          <w:right w:w="115" w:type="dxa"/>
        </w:tblCellMar>
        <w:tblLook w:firstRow="1" w:noVBand="1" w:lastRow="0" w:firstColumn="1" w:lastColumn="0" w:noHBand="0" w:val="04a0"/>
      </w:tblPr>
      <w:tblGrid>
        <w:gridCol w:w="1044"/>
        <w:gridCol w:w="8705"/>
      </w:tblGrid>
      <w:tr>
        <w:trPr>
          <w:trHeight w:val="636" w:hRule="atLeast"/>
        </w:trPr>
        <w:tc>
          <w:tcPr>
            <w:tcW w:w="104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46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Оценка</w:t>
            </w:r>
          </w:p>
        </w:tc>
        <w:tc>
          <w:tcPr>
            <w:tcW w:w="870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88" w:righ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Критерии оценивания</w:t>
            </w:r>
          </w:p>
        </w:tc>
      </w:tr>
      <w:tr>
        <w:trPr>
          <w:trHeight w:val="896" w:hRule="atLeast"/>
        </w:trPr>
        <w:tc>
          <w:tcPr>
            <w:tcW w:w="104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зачтено</w:t>
            </w:r>
          </w:p>
        </w:tc>
        <w:tc>
          <w:tcPr>
            <w:tcW w:w="870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Тест считается выполненным при наличии не менее 56 процентов правильных ответов на тестовые задания.</w:t>
            </w:r>
          </w:p>
        </w:tc>
      </w:tr>
      <w:tr>
        <w:trPr>
          <w:trHeight w:val="898" w:hRule="atLeast"/>
        </w:trPr>
        <w:tc>
          <w:tcPr>
            <w:tcW w:w="104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1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не зачтено</w:t>
            </w:r>
          </w:p>
        </w:tc>
        <w:tc>
          <w:tcPr>
            <w:tcW w:w="8705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>
            <w:pPr>
              <w:pStyle w:val="Normal"/>
              <w:widowControl/>
              <w:suppressAutoHyphens w:val="true"/>
              <w:spacing w:lineRule="auto" w:line="240" w:before="0" w:after="0"/>
              <w:ind w:hanging="0" w:left="0" w:right="0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kern w:val="0"/>
                <w:sz w:val="22"/>
                <w:szCs w:val="22"/>
                <w:lang w:val="en-US" w:eastAsia="en-US" w:bidi="ar-SA"/>
              </w:rPr>
              <w:t>Тест считается не выполненным при наличии менее 56 процентов правильных ответов на тестовые задания.</w:t>
            </w:r>
          </w:p>
        </w:tc>
      </w:tr>
    </w:tbl>
    <w:p>
      <w:pPr>
        <w:pStyle w:val="Normal"/>
        <w:numPr>
          <w:ilvl w:val="0"/>
          <w:numId w:val="4"/>
        </w:numPr>
        <w:spacing w:before="0" w:after="200"/>
        <w:ind w:hanging="300" w:left="300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 xml:space="preserve">Учебно-методическое и информационное обеспечение дисциплины (модуля) </w:t>
      </w:r>
    </w:p>
    <w:p>
      <w:pPr>
        <w:pStyle w:val="Normal"/>
        <w:spacing w:lineRule="auto" w:line="252" w:before="0" w:after="323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Основная литература:</w:t>
      </w:r>
    </w:p>
    <w:p>
      <w:pPr>
        <w:pStyle w:val="Normal"/>
        <w:spacing w:lineRule="auto" w:line="252" w:before="0" w:after="292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1. Медик В.А. Общественное здоровье и здравоохранение : учебник / Медик В.А. - Москва : ГЭОТАР-Медиа, 2022. - 672 c. - ISBN ISBN 978-5-9704-7028-2., https://e-lib.unn.ru/MegaPro/UserEntry?Action=FindDocs&amp;ids=809227&amp;idb=0.</w:t>
      </w:r>
    </w:p>
    <w:p>
      <w:pPr>
        <w:pStyle w:val="Normal"/>
        <w:spacing w:lineRule="auto" w:line="252" w:before="0" w:after="323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Дополнительная литература:</w:t>
      </w:r>
    </w:p>
    <w:p>
      <w:pPr>
        <w:pStyle w:val="Normal"/>
        <w:spacing w:lineRule="auto" w:line="252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 xml:space="preserve">1. Улумбекова Г.Э. Общественное здоровье и здравоохранение. Национальное руководство : </w:t>
      </w:r>
    </w:p>
    <w:p>
      <w:pPr>
        <w:pStyle w:val="Normal"/>
        <w:spacing w:lineRule="auto" w:line="252" w:before="0" w:after="292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практическое руководство / Улумбекова Г.Э.;  Медик В.А. - Москва : ГЭОТАР-Медиа, 2022. - 1144 c. - ISBN 978-5-9704-6723-7., https://e-lib.unn.ru/MegaPro/UserEntry? Action=FindDocs&amp;ids=807584&amp;idb=0.</w:t>
      </w:r>
    </w:p>
    <w:p>
      <w:pPr>
        <w:pStyle w:val="Normal"/>
        <w:spacing w:lineRule="auto" w:line="252" w:before="0" w:after="323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Программное обеспечение и Интернет-ресурсы (в соответствии с содержанием дисциплины):</w:t>
      </w:r>
    </w:p>
    <w:p>
      <w:pPr>
        <w:pStyle w:val="Normal"/>
        <w:spacing w:lineRule="auto" w:line="252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ЭБС «Юрайт». Режим доступа: https://urait.ru</w:t>
      </w:r>
    </w:p>
    <w:p>
      <w:pPr>
        <w:pStyle w:val="Normal"/>
        <w:spacing w:lineRule="auto" w:line="252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ЭБС «Консультант студента». Режим доступа: http://www.studentlibrary.ru</w:t>
      </w:r>
    </w:p>
    <w:p>
      <w:pPr>
        <w:pStyle w:val="Normal"/>
        <w:spacing w:lineRule="auto" w:line="252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ЭБС «Лань». Режим доступа: http://e.lanbook.com/</w:t>
      </w:r>
    </w:p>
    <w:p>
      <w:pPr>
        <w:pStyle w:val="Normal"/>
        <w:spacing w:lineRule="auto" w:line="252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ЭБС «Znanium.com». Режим доступа: http://www.znanium.com</w:t>
      </w:r>
    </w:p>
    <w:p>
      <w:pPr>
        <w:pStyle w:val="Normal"/>
        <w:spacing w:lineRule="auto" w:line="252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ЭБС «Консультант врача» Режим доступа: www.rosmedlib.ru</w:t>
      </w:r>
    </w:p>
    <w:p>
      <w:pPr>
        <w:pStyle w:val="Normal"/>
        <w:spacing w:lineRule="auto" w:line="252" w:before="0" w:after="323"/>
        <w:ind w:hanging="10" w:left="-5" w:right="1035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Лицензионное ПО (операционная система Microsoft Windows, пакет прикладных программ Microsoft Office) и свободно распространяемое программное обеспечение.</w:t>
      </w:r>
    </w:p>
    <w:p>
      <w:pPr>
        <w:pStyle w:val="Normal"/>
        <w:spacing w:before="0" w:after="0"/>
        <w:ind w:hanging="10" w:left="-5" w:right="0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</w:rPr>
        <w:t xml:space="preserve">7. Материально-техническое обеспечение дисциплины (модуля) </w:t>
      </w:r>
    </w:p>
    <w:p>
      <w:pPr>
        <w:pStyle w:val="Normal"/>
        <w:spacing w:lineRule="auto" w:line="218" w:before="0" w:after="276"/>
        <w:ind w:hanging="0" w:left="0" w:right="426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222222"/>
          <w:sz w:val="24"/>
        </w:rPr>
        <w:t>Учебные аудитории для проведения учебных занятий, предусмотренных образовательной программой, оснащены мультимедийным оборудованием (проектор, экран), техническими средствами обучения, компьютерами</w:t>
      </w:r>
      <w:r>
        <w:rPr>
          <w:rFonts w:ascii="Times New Roman" w:hAnsi="Times New Roman"/>
          <w:sz w:val="24"/>
        </w:rPr>
        <w:t>.</w:t>
      </w:r>
    </w:p>
    <w:p>
      <w:pPr>
        <w:pStyle w:val="Normal"/>
        <w:spacing w:lineRule="auto" w:line="218" w:before="0" w:after="517"/>
        <w:ind w:hanging="10" w:left="-5" w:right="431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Помещения для самостоятельной работы обучающихся оснащены компьютерной техникой с возможностью подключения к сети "Интернет" и обеспечены доступом в электронную информационно-образовательную среду.</w:t>
      </w:r>
    </w:p>
    <w:p>
      <w:pPr>
        <w:pStyle w:val="Normal"/>
        <w:spacing w:lineRule="auto" w:line="252" w:before="0" w:after="723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>Программа составлена в соответствии с требованиями ФГОС ВО по направлению подготовки/специальности 31.08.49 - Терапия.</w:t>
      </w:r>
    </w:p>
    <w:p>
      <w:pPr>
        <w:pStyle w:val="Normal"/>
        <w:spacing w:lineRule="auto" w:line="252" w:before="0" w:after="206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 xml:space="preserve">Автор(ы): </w:t>
      </w:r>
      <w:r>
        <w:rPr>
          <w:rFonts w:ascii="Times New Roman" w:hAnsi="Times New Roman"/>
          <w:sz w:val="24"/>
          <w:lang w:val="ru-RU"/>
        </w:rPr>
        <w:t>Слонов Андрей Владимирович</w:t>
      </w:r>
      <w:r>
        <w:rPr>
          <w:rFonts w:ascii="Times New Roman" w:hAnsi="Times New Roman"/>
          <w:sz w:val="24"/>
        </w:rPr>
        <w:t>, кандидат медицинских наук.</w:t>
      </w:r>
    </w:p>
    <w:p>
      <w:pPr>
        <w:pStyle w:val="Normal"/>
        <w:spacing w:lineRule="auto" w:line="252" w:before="0" w:after="3"/>
        <w:ind w:hanging="10" w:left="-5" w:right="0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 xml:space="preserve">Программа одобрена на заседании </w:t>
      </w:r>
      <w:r>
        <w:rPr>
          <w:rFonts w:ascii="Times New Roman" w:hAnsi="Times New Roman"/>
          <w:sz w:val="24"/>
          <w:lang w:val="ru-RU"/>
        </w:rPr>
        <w:t>ученого комитета</w:t>
      </w:r>
      <w:r>
        <w:rPr>
          <w:rFonts w:ascii="Times New Roman" w:hAnsi="Times New Roman"/>
          <w:sz w:val="24"/>
        </w:rPr>
        <w:t xml:space="preserve"> от </w:t>
      </w:r>
      <w:r>
        <w:rPr>
          <w:rFonts w:ascii="Times New Roman" w:hAnsi="Times New Roman"/>
          <w:sz w:val="24"/>
          <w:lang w:val="ru-RU"/>
        </w:rPr>
        <w:t>27.03.2025г</w:t>
      </w:r>
      <w:r>
        <w:rPr>
          <w:rFonts w:ascii="Times New Roman" w:hAnsi="Times New Roman"/>
          <w:sz w:val="24"/>
        </w:rPr>
        <w:t xml:space="preserve">., протокол № </w:t>
      </w:r>
      <w:r>
        <w:rPr>
          <w:rFonts w:ascii="Times New Roman" w:hAnsi="Times New Roman"/>
          <w:sz w:val="24"/>
          <w:lang w:val="ru-RU"/>
        </w:rPr>
        <w:t>3</w:t>
      </w:r>
      <w:r>
        <w:rPr>
          <w:rFonts w:ascii="Times New Roman" w:hAnsi="Times New Roman"/>
          <w:sz w:val="24"/>
        </w:rPr>
        <w:t>.</w:t>
      </w:r>
    </w:p>
    <w:sectPr>
      <w:type w:val="nextPage"/>
      <w:pgSz w:w="11906" w:h="16838"/>
      <w:pgMar w:left="994" w:right="574" w:gutter="0" w:header="0" w:top="713" w:footer="0" w:bottom="1521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24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20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08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180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52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24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396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468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40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2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0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2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9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6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</w:abstractNum>
  <w:abstractNum w:abstractNumId="3">
    <w:lvl w:ilvl="0">
      <w:start w:val="6"/>
      <w:numFmt w:val="decimal"/>
      <w:lvlText w:val="%1."/>
      <w:lvlJc w:val="left"/>
      <w:pPr>
        <w:tabs>
          <w:tab w:val="num" w:pos="0"/>
        </w:tabs>
        <w:ind w:left="2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0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8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5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24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96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68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40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120" w:hanging="0"/>
      </w:pPr>
      <w:rPr>
        <w:dstrike w:val="false"/>
        <w:strike w:val="false"/>
        <w:vertAlign w:val="baseline"/>
        <w:position w:val="0"/>
        <w:sz w:val="22"/>
        <w:sz w:val="22"/>
        <w:i w:val="false"/>
        <w:u w:val="none" w:color="000000"/>
        <w:b w:val="false"/>
        <w:shd w:fill="auto" w:val="clear"/>
        <w:szCs w:val="22"/>
        <w:rFonts w:ascii="Calibri" w:hAnsi="Calibri" w:eastAsia="Calibri" w:cs="Calibri"/>
        <w:color w:val="000000"/>
      </w:rPr>
    </w:lvl>
  </w:abstractNum>
  <w:abstractNum w:abstractNumId="4">
    <w:lvl w:ilvl="0">
      <w:start w:val="4"/>
      <w:numFmt w:val="decimal"/>
      <w:lvlText w:val="%1."/>
      <w:lvlJc w:val="left"/>
      <w:pPr>
        <w:tabs>
          <w:tab w:val="num" w:pos="0"/>
        </w:tabs>
        <w:ind w:left="30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5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108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180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252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324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396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4680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/>
        <w:shd w:fill="auto" w:val="clear"/>
        <w:szCs w:val="24"/>
        <w:bCs/>
        <w:rFonts w:ascii="Calibri" w:hAnsi="Calibri" w:eastAsia="Calibri" w:cs="Calibri"/>
        <w:color w:val="000000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3"/>
      <w:ind w:hanging="10" w:left="10" w:right="554"/>
      <w:jc w:val="left"/>
    </w:pPr>
    <w:rPr>
      <w:rFonts w:ascii="Calibri" w:hAnsi="Calibri" w:eastAsia="Calibri" w:cs="Calibri"/>
      <w:color w:val="000000"/>
      <w:kern w:val="0"/>
      <w:sz w:val="22"/>
      <w:szCs w:val="22"/>
      <w:lang w:val="en-US" w:eastAsia="en-US" w:bidi="ar-SA"/>
    </w:rPr>
  </w:style>
  <w:style w:type="paragraph" w:styleId="Heading1">
    <w:name w:val="Heading 1"/>
    <w:basedOn w:val="Normal"/>
    <w:qFormat/>
    <w:pPr>
      <w:ind w:hanging="0" w:left="144" w:right="0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3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4">
    <w:name w:val="Указатель"/>
    <w:basedOn w:val="Normal"/>
    <w:qFormat/>
    <w:pPr>
      <w:suppressLineNumbers/>
    </w:pPr>
    <w:rPr>
      <w:rFonts w:cs="Lucida 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Application>LibreOffice/7.6.5.2$Windows_X86_64 LibreOffice_project/38d5f62f85355c192ef5f1dd47c5c0c0c6d6598b</Application>
  <AppVersion>15.0000</AppVersion>
  <DocSecurity>4</DocSecurity>
  <Pages>15</Pages>
  <Words>3033</Words>
  <Characters>23469</Characters>
  <CharactersWithSpaces>26089</CharactersWithSpaces>
  <Paragraphs>398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2025-03-28T08:49:00Z</dcterms:created>
  <dc:creator>1;OpenTBS 1.9.12</dc:creator>
  <dc:description/>
  <dc:language>ru-RU</dc:language>
  <cp:lastModifiedBy/>
  <dcterms:modified xsi:type="dcterms:W3CDTF">2025-04-01T16:12:39Z</dcterms:modified>
  <cp:revision>8</cp:revision>
  <dc:subject/>
  <dc:title>МИНИСТЕРСТВО ОБРАЗОВАНИЯ И НАУКИ РОССИЙСКОЙ ФЕДЕРАЦИИМИНИСТЕРСТВО ОБРАЗОВАНИЯ И НАУКИ РОССИЙСКОЙ ФЕДЕРАЦИИМИНИСТЕРСТВО ОБРАЗОВАНИЯ И НАУКИ РОССИЙСКОЙ ФЕДЕРАЦИИМИНИСТЕРСТВО ОБРАЗОВАНИЯ И НАУКИ РОССИЙСКОЙ ФЕДЕРАЦИИ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