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t>Приложение</w:t>
      </w:r>
      <w:r>
        <w:rPr>
          <w:spacing w:val="-10"/>
        </w:rPr>
        <w:t xml:space="preserve"> 4</w:t>
      </w:r>
    </w:p>
    <w:p>
      <w:pPr>
        <w:pStyle w:val="BodyText"/>
        <w:rPr>
          <w:rFonts w:ascii="Times New Roman" w:hAnsi="Times New Roman"/>
          <w:b/>
        </w:rPr>
      </w:pPr>
      <w:r>
        <w:rPr>
          <w:rFonts w:ascii="Times New Roman" w:hAnsi="Times New Roman"/>
          <w:b/>
        </w:rPr>
      </w:r>
    </w:p>
    <w:p>
      <w:pPr>
        <w:pStyle w:val="BodyText"/>
        <w:spacing w:before="6" w:after="0"/>
        <w:ind w:hanging="0" w:left="81" w:right="645"/>
        <w:jc w:val="center"/>
        <w:rPr>
          <w:rFonts w:ascii="Times New Roman" w:hAnsi="Times New Roman"/>
        </w:rPr>
      </w:pPr>
      <w:r>
        <w:rPr>
          <w:rFonts w:ascii="Times New Roman" w:hAnsi="Times New Roman"/>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w:t>
      </w:r>
      <w:r>
        <w:rPr>
          <w:rFonts w:ascii="Times New Roman" w:hAnsi="Times New Roman"/>
          <w:b/>
          <w:lang w:val="ru-RU"/>
        </w:rPr>
        <w:t>аген</w:t>
      </w:r>
      <w:r>
        <w:rPr>
          <w:rFonts w:ascii="Times New Roman" w:hAnsi="Times New Roman"/>
          <w:b/>
          <w:lang w:val="ru-RU"/>
        </w:rPr>
        <w:t>т</w:t>
      </w:r>
      <w:r>
        <w:rPr>
          <w:rFonts w:ascii="Times New Roman" w:hAnsi="Times New Roman"/>
          <w:b/>
          <w:lang w:val="ru-RU"/>
        </w:rPr>
        <w:t>ства</w:t>
      </w:r>
      <w:r>
        <w:rPr>
          <w:rFonts w:ascii="Times New Roman" w:hAnsi="Times New Roman"/>
          <w:b/>
        </w:rPr>
        <w:t xml:space="preserve">» </w:t>
      </w:r>
    </w:p>
    <w:p>
      <w:pPr>
        <w:pStyle w:val="BodyText"/>
        <w:ind w:hanging="0" w:left="81" w:right="645"/>
        <w:jc w:val="center"/>
        <w:rPr>
          <w:rFonts w:ascii="Times New Roman" w:hAnsi="Times New Roman"/>
          <w:spacing w:val="-2"/>
        </w:rPr>
      </w:pPr>
      <w:r>
        <w:rPr>
          <w:rFonts w:ascii="Times New Roman" w:hAnsi="Times New Roman"/>
          <w:spacing w:val="-2"/>
        </w:rPr>
        <mc:AlternateContent>
          <mc:Choice Requires="wps">
            <w:drawing>
              <wp:anchor behindDoc="1" distT="0" distB="0" distL="0" distR="0" simplePos="0" locked="0" layoutInCell="0" allowOverlap="1" relativeHeight="2">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720 w 3176280"/>
                            <a:gd name="textAreaTop" fmla="*/ 0 h 1800"/>
                            <a:gd name="textAreaBottom" fmla="*/ 324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ind w:hanging="0" w:left="0" w:right="1270"/>
        <w:jc w:val="right"/>
        <w:rPr>
          <w:rFonts w:ascii="Times New Roman" w:hAnsi="Times New Roman"/>
        </w:rPr>
      </w:pPr>
      <w:r>
        <w:rPr>
          <w:rFonts w:ascii="Times New Roman" w:hAnsi="Times New Roman"/>
          <w:spacing w:val="-2"/>
        </w:rPr>
        <w:t>УТВЕРЖДЕНО</w:t>
      </w:r>
    </w:p>
    <w:p>
      <w:pPr>
        <w:pStyle w:val="BodyText"/>
        <w:spacing w:before="134" w:after="0"/>
        <w:ind w:hanging="0" w:left="0" w:right="1275"/>
        <w:jc w:val="right"/>
        <w:rPr>
          <w:rFonts w:ascii="Times New Roman" w:hAnsi="Times New Roman"/>
          <w:spacing w:val="-4"/>
        </w:rPr>
      </w:pPr>
      <w:r>
        <w:rPr>
          <w:rFonts w:ascii="Times New Roman" w:hAnsi="Times New Roman"/>
          <w:spacing w:val="-4"/>
        </w:rPr>
      </w:r>
    </w:p>
    <w:p>
      <w:pPr>
        <w:pStyle w:val="BodyText"/>
        <w:ind w:hanging="0" w:left="0" w:right="1271"/>
        <w:jc w:val="right"/>
        <w:rPr>
          <w:rFonts w:ascii="Times New Roman" w:hAnsi="Times New Roman"/>
        </w:rPr>
      </w:pPr>
      <w:r>
        <w:rPr>
          <w:rFonts w:ascii="Times New Roman" w:hAnsi="Times New Roman"/>
        </w:rPr>
        <w:t xml:space="preserve">заместитель генерального директора </w:t>
      </w:r>
    </w:p>
    <w:p>
      <w:pPr>
        <w:pStyle w:val="BodyText"/>
        <w:ind w:hanging="0" w:left="0" w:right="1271"/>
        <w:jc w:val="right"/>
        <w:rPr>
          <w:rFonts w:ascii="Times New Roman" w:hAnsi="Times New Roman"/>
        </w:rPr>
      </w:pPr>
      <w:r>
        <w:rPr>
          <w:rFonts w:ascii="Times New Roman" w:hAnsi="Times New Roman"/>
        </w:rPr>
        <w:t>ФНКЦ ФХМ им. Ю.М. Лопухина ФМБА России</w:t>
      </w:r>
    </w:p>
    <w:p>
      <w:pPr>
        <w:pStyle w:val="BodyText"/>
        <w:ind w:hanging="0" w:left="0" w:right="1271"/>
        <w:jc w:val="right"/>
        <w:rPr>
          <w:rFonts w:ascii="Times New Roman" w:hAnsi="Times New Roman"/>
        </w:rPr>
      </w:pPr>
      <w:r>
        <w:rPr>
          <w:rFonts w:ascii="Times New Roman" w:hAnsi="Times New Roman"/>
        </w:rPr>
        <w:t>чл.-корр, д.м.н.,</w:t>
      </w:r>
    </w:p>
    <w:p>
      <w:pPr>
        <w:pStyle w:val="BodyText"/>
        <w:ind w:hanging="0" w:left="0" w:right="1271"/>
        <w:jc w:val="right"/>
        <w:rPr>
          <w:rFonts w:ascii="Times New Roman" w:hAnsi="Times New Roman"/>
        </w:rPr>
      </w:pPr>
      <w:r>
        <w:rPr>
          <w:rFonts w:ascii="Times New Roman" w:hAnsi="Times New Roman"/>
        </w:rPr>
        <w:t>Загайнова Е.В.</w: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Heading1"/>
        <w:widowControl w:val="false"/>
        <w:bidi w:val="0"/>
        <w:spacing w:lineRule="auto" w:line="240" w:before="0" w:after="0"/>
        <w:ind w:hanging="0" w:left="0" w:right="0"/>
        <w:jc w:val="center"/>
        <w:rPr>
          <w:rFonts w:ascii="Times New Roman" w:hAnsi="Times New Roman"/>
        </w:rPr>
      </w:pPr>
      <w:bookmarkStart w:id="0" w:name="%252525252525D0%252525252525A0%252525252"/>
      <w:bookmarkEnd w:id="0"/>
      <w:r>
        <w:rPr/>
        <w:t xml:space="preserve">Рабочая программа </w:t>
      </w:r>
      <w:r>
        <w:rPr>
          <w:spacing w:val="-2"/>
        </w:rPr>
        <w:t>дисциплины</w:t>
      </w:r>
    </w:p>
    <w:p>
      <w:pPr>
        <w:pStyle w:val="BodyText"/>
        <w:widowControl w:val="false"/>
        <w:suppressAutoHyphens w:val="true"/>
        <w:bidi w:val="0"/>
        <w:spacing w:lineRule="auto" w:line="240" w:before="127" w:after="0"/>
        <w:ind w:hanging="0" w:left="0" w:right="0"/>
        <w:jc w:val="center"/>
        <w:rPr>
          <w:rFonts w:ascii="Times New Roman" w:hAnsi="Times New Roman"/>
        </w:rPr>
      </w:pPr>
      <w:r>
        <w:rPr>
          <w:rFonts w:ascii="Times New Roman" w:hAnsi="Times New Roman"/>
          <w:spacing w:val="-2"/>
          <w:lang w:val="ru-RU"/>
        </w:rPr>
        <w:t>Клиническая фармакология</w:t>
      </w:r>
    </w:p>
    <w:p>
      <w:pPr>
        <w:pStyle w:val="BodyText"/>
        <w:spacing w:before="275" w:after="0"/>
        <w:jc w:val="center"/>
        <w:rPr>
          <w:rFonts w:ascii="Times New Roman" w:hAnsi="Times New Roman"/>
        </w:rPr>
      </w:pPr>
      <w:r>
        <w:rPr>
          <w:rFonts w:ascii="Times New Roman" w:hAnsi="Times New Roman"/>
        </w:rPr>
      </w:r>
    </w:p>
    <w:p>
      <w:pPr>
        <w:pStyle w:val="BodyText"/>
        <w:widowControl w:val="false"/>
        <w:bidi w:val="0"/>
        <w:spacing w:lineRule="auto" w:line="259" w:before="1" w:after="7"/>
        <w:ind w:hanging="0" w:left="0" w:right="0"/>
        <w:jc w:val="center"/>
        <w:rPr>
          <w:rFonts w:ascii="Times New Roman" w:hAnsi="Times New Roman"/>
        </w:rPr>
      </w:pPr>
      <w:r>
        <w:rPr>
          <w:rFonts w:ascii="Times New Roman" w:hAnsi="Times New Roman"/>
        </w:rPr>
        <w:t>Уровень</w:t>
      </w:r>
      <w:r>
        <w:rPr>
          <w:rFonts w:ascii="Times New Roman" w:hAnsi="Times New Roman"/>
          <w:spacing w:val="-15"/>
        </w:rPr>
        <w:t xml:space="preserve"> </w:t>
      </w:r>
      <w:r>
        <w:rPr>
          <w:rFonts w:ascii="Times New Roman" w:hAnsi="Times New Roman"/>
        </w:rPr>
        <w:t>высшего</w:t>
      </w:r>
      <w:r>
        <w:rPr>
          <w:rFonts w:ascii="Times New Roman" w:hAnsi="Times New Roman"/>
          <w:spacing w:val="-15"/>
        </w:rPr>
        <w:t xml:space="preserve"> о</w:t>
      </w:r>
      <w:r>
        <w:rPr>
          <w:rFonts w:ascii="Times New Roman" w:hAnsi="Times New Roman"/>
        </w:rPr>
        <w:t xml:space="preserve">бразования </w:t>
      </w:r>
    </w:p>
    <w:p>
      <w:pPr>
        <w:pStyle w:val="BodyText"/>
        <w:widowControl w:val="false"/>
        <w:bidi w:val="0"/>
        <w:spacing w:lineRule="auto" w:line="259" w:before="1" w:after="7"/>
        <w:ind w:hanging="0" w:left="0" w:right="0"/>
        <w:jc w:val="center"/>
        <w:rPr>
          <w:rFonts w:ascii="Times New Roman" w:hAnsi="Times New Roman"/>
        </w:rPr>
      </w:pPr>
      <w:r>
        <w:rPr>
          <w:rFonts w:ascii="Times New Roman" w:hAnsi="Times New Roman"/>
          <w:spacing w:val="-2"/>
        </w:rPr>
        <w:t>Ординатура</w:t>
      </w:r>
    </w:p>
    <w:p>
      <w:pPr>
        <w:pStyle w:val="BodyText"/>
        <w:spacing w:lineRule="exact" w:line="20"/>
        <w:ind w:hanging="0" w:left="2482" w:right="0"/>
        <w:jc w:val="center"/>
        <w:rPr>
          <w:rFonts w:ascii="Times New Roman" w:hAnsi="Times New Roman"/>
        </w:rPr>
      </w:pPr>
      <w:r>
        <w:rPr>
          <w:rFonts w:ascii="Times New Roman" w:hAnsi="Times New Roman"/>
        </w:rPr>
      </w:r>
    </w:p>
    <w:p>
      <w:pPr>
        <w:pStyle w:val="BodyText"/>
        <w:spacing w:before="260" w:after="0"/>
        <w:jc w:val="center"/>
        <w:rPr>
          <w:rFonts w:ascii="Times New Roman" w:hAnsi="Times New Roman"/>
        </w:rPr>
      </w:pPr>
      <w:r>
        <w:rPr>
          <w:rFonts w:ascii="Times New Roman" w:hAnsi="Times New Roman"/>
        </w:rPr>
      </w:r>
    </w:p>
    <w:p>
      <w:pPr>
        <w:pStyle w:val="BodyText"/>
        <w:widowControl w:val="false"/>
        <w:bidi w:val="0"/>
        <w:spacing w:lineRule="auto" w:line="240" w:before="1" w:after="0"/>
        <w:ind w:hanging="0" w:left="0" w:right="0"/>
        <w:jc w:val="center"/>
        <w:rPr>
          <w:rFonts w:ascii="Times New Roman" w:hAnsi="Times New Roman"/>
        </w:rPr>
      </w:pPr>
      <w:r>
        <w:rPr>
          <w:rFonts w:ascii="Times New Roman" w:hAnsi="Times New Roman"/>
        </w:rPr>
        <w:t>Направление</w:t>
      </w:r>
      <w:r>
        <w:rPr>
          <w:rFonts w:ascii="Times New Roman" w:hAnsi="Times New Roman"/>
          <w:spacing w:val="-10"/>
        </w:rPr>
        <w:t xml:space="preserve"> </w:t>
      </w:r>
      <w:r>
        <w:rPr>
          <w:rFonts w:ascii="Times New Roman" w:hAnsi="Times New Roman"/>
        </w:rPr>
        <w:t>подготовки</w:t>
      </w:r>
      <w:r>
        <w:rPr>
          <w:rFonts w:ascii="Times New Roman" w:hAnsi="Times New Roman"/>
          <w:spacing w:val="-7"/>
        </w:rPr>
        <w:t xml:space="preserve"> </w:t>
      </w:r>
      <w:r>
        <w:rPr>
          <w:rFonts w:ascii="Times New Roman" w:hAnsi="Times New Roman"/>
        </w:rPr>
        <w:t>/</w:t>
      </w:r>
      <w:r>
        <w:rPr>
          <w:rFonts w:ascii="Times New Roman" w:hAnsi="Times New Roman"/>
          <w:spacing w:val="-7"/>
        </w:rPr>
        <w:t xml:space="preserve"> </w:t>
      </w:r>
      <w:r>
        <w:rPr>
          <w:rFonts w:ascii="Times New Roman" w:hAnsi="Times New Roman"/>
          <w:spacing w:val="-2"/>
        </w:rPr>
        <w:t>специальность</w:t>
      </w:r>
    </w:p>
    <w:p>
      <w:pPr>
        <w:pStyle w:val="BodyText"/>
        <w:widowControl w:val="false"/>
        <w:bidi w:val="0"/>
        <w:spacing w:lineRule="auto" w:line="240" w:before="26" w:after="0"/>
        <w:ind w:hanging="0" w:left="0" w:right="0"/>
        <w:jc w:val="center"/>
        <w:rPr>
          <w:rFonts w:ascii="Times New Roman" w:hAnsi="Times New Roman"/>
        </w:rPr>
      </w:pPr>
      <w:r>
        <w:rPr>
          <w:rFonts w:ascii="Times New Roman" w:hAnsi="Times New Roman"/>
        </w:rPr>
        <w:t>31.08.</w:t>
      </w:r>
      <w:r>
        <w:rPr>
          <w:rFonts w:ascii="Times New Roman" w:hAnsi="Times New Roman"/>
          <w:lang w:val="ru-RU"/>
        </w:rPr>
        <w:t xml:space="preserve">58 </w:t>
      </w:r>
      <w:r>
        <w:rPr>
          <w:rFonts w:ascii="Times New Roman" w:hAnsi="Times New Roman"/>
        </w:rPr>
        <w:t xml:space="preserve">- </w:t>
      </w:r>
      <w:r>
        <w:rPr>
          <w:rFonts w:cs="Times New Roman" w:ascii="Times New Roman" w:hAnsi="Times New Roman"/>
          <w:spacing w:val="-2"/>
          <w:lang w:val="ru-RU"/>
        </w:rPr>
        <w:t>Оториноларингология</w:t>
      </w:r>
    </w:p>
    <w:p>
      <w:pPr>
        <w:pStyle w:val="BodyText"/>
        <w:spacing w:before="275" w:after="0"/>
        <w:jc w:val="center"/>
        <w:rPr>
          <w:rFonts w:ascii="Times New Roman" w:hAnsi="Times New Roman"/>
        </w:rPr>
      </w:pPr>
      <w:r>
        <w:rPr>
          <w:rFonts w:ascii="Times New Roman" w:hAnsi="Times New Roman"/>
        </w:rPr>
      </w:r>
    </w:p>
    <w:p>
      <w:pPr>
        <w:pStyle w:val="BodyText"/>
        <w:widowControl w:val="false"/>
        <w:suppressAutoHyphens w:val="true"/>
        <w:bidi w:val="0"/>
        <w:spacing w:lineRule="auto" w:line="240" w:before="1" w:after="0"/>
        <w:ind w:hanging="0" w:left="57" w:right="0"/>
        <w:jc w:val="center"/>
        <w:rPr>
          <w:rFonts w:ascii="Times New Roman" w:hAnsi="Times New Roman"/>
        </w:rPr>
      </w:pPr>
      <w:r>
        <w:rPr>
          <w:rFonts w:ascii="Times New Roman" w:hAnsi="Times New Roman"/>
        </w:rPr>
        <w:t>Направленность</w:t>
      </w:r>
      <w:r>
        <w:rPr>
          <w:rFonts w:ascii="Times New Roman" w:hAnsi="Times New Roman"/>
          <w:spacing w:val="-15"/>
        </w:rPr>
        <w:t xml:space="preserve"> </w:t>
      </w:r>
      <w:r>
        <w:rPr>
          <w:rFonts w:ascii="Times New Roman" w:hAnsi="Times New Roman"/>
        </w:rPr>
        <w:t>образовательной</w:t>
      </w:r>
      <w:r>
        <w:rPr>
          <w:rFonts w:ascii="Times New Roman" w:hAnsi="Times New Roman"/>
          <w:spacing w:val="-14"/>
        </w:rPr>
        <w:t xml:space="preserve"> </w:t>
      </w:r>
      <w:r>
        <w:rPr>
          <w:rFonts w:ascii="Times New Roman" w:hAnsi="Times New Roman"/>
          <w:spacing w:val="-2"/>
        </w:rPr>
        <w:t>программы</w:t>
      </w:r>
    </w:p>
    <w:p>
      <w:pPr>
        <w:pStyle w:val="BodyText"/>
        <w:widowControl w:val="false"/>
        <w:bidi w:val="0"/>
        <w:spacing w:lineRule="auto" w:line="240" w:before="26" w:after="0"/>
        <w:ind w:right="0"/>
        <w:jc w:val="center"/>
        <w:rPr/>
      </w:pPr>
      <w:r>
        <w:rPr>
          <w:rFonts w:cs="Times New Roman" w:ascii="Times New Roman" w:hAnsi="Times New Roman"/>
          <w:spacing w:val="-2"/>
          <w:lang w:val="ru-RU"/>
        </w:rPr>
        <w:t>Оториноларингология</w:t>
      </w:r>
    </w:p>
    <w:p>
      <w:pPr>
        <w:pStyle w:val="BodyText"/>
        <w:spacing w:before="275" w:after="0"/>
        <w:jc w:val="center"/>
        <w:rPr>
          <w:rFonts w:ascii="Times New Roman" w:hAnsi="Times New Roman"/>
        </w:rPr>
      </w:pPr>
      <w:r>
        <w:rPr>
          <w:rFonts w:ascii="Times New Roman" w:hAnsi="Times New Roman"/>
        </w:rPr>
      </w:r>
    </w:p>
    <w:p>
      <w:pPr>
        <w:pStyle w:val="BodyText"/>
        <w:widowControl w:val="false"/>
        <w:suppressAutoHyphens w:val="true"/>
        <w:bidi w:val="0"/>
        <w:spacing w:lineRule="auto" w:line="259" w:before="1" w:after="7"/>
        <w:ind w:hanging="0" w:left="0" w:right="0"/>
        <w:jc w:val="center"/>
        <w:rPr>
          <w:rFonts w:ascii="Times New Roman" w:hAnsi="Times New Roman"/>
        </w:rPr>
      </w:pPr>
      <w:r>
        <w:rPr>
          <w:rFonts w:ascii="Times New Roman" w:hAnsi="Times New Roman"/>
        </w:rPr>
        <w:t>Форма</w:t>
      </w:r>
      <w:r>
        <w:rPr>
          <w:rFonts w:ascii="Times New Roman" w:hAnsi="Times New Roman"/>
          <w:spacing w:val="-15"/>
        </w:rPr>
        <w:t xml:space="preserve"> </w:t>
      </w:r>
      <w:r>
        <w:rPr>
          <w:rFonts w:ascii="Times New Roman" w:hAnsi="Times New Roman"/>
        </w:rPr>
        <w:t xml:space="preserve">обучения </w:t>
      </w:r>
    </w:p>
    <w:p>
      <w:pPr>
        <w:pStyle w:val="BodyText"/>
        <w:widowControl w:val="false"/>
        <w:suppressAutoHyphens w:val="true"/>
        <w:bidi w:val="0"/>
        <w:spacing w:lineRule="auto" w:line="259" w:before="1" w:after="7"/>
        <w:ind w:hanging="0" w:left="0" w:right="0"/>
        <w:jc w:val="center"/>
        <w:rPr>
          <w:rFonts w:ascii="Times New Roman" w:hAnsi="Times New Roman"/>
        </w:rPr>
      </w:pPr>
      <w:r>
        <w:rPr>
          <w:rFonts w:ascii="Times New Roman" w:hAnsi="Times New Roman"/>
          <w:spacing w:val="-2"/>
        </w:rPr>
        <w:t>очная</w:t>
      </w:r>
    </w:p>
    <w:p>
      <w:pPr>
        <w:pStyle w:val="BodyText"/>
        <w:spacing w:lineRule="exact" w:line="20"/>
        <w:ind w:hanging="0" w:left="2482" w:right="0"/>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rPr>
        <w:t>г. Москва</w:t>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b/>
          <w:sz w:val="24"/>
        </w:rPr>
        <w:t>2025</w:t>
      </w:r>
      <w:r>
        <w:rPr>
          <w:rFonts w:ascii="Times New Roman" w:hAnsi="Times New Roman"/>
          <w:b/>
          <w:spacing w:val="-12"/>
          <w:sz w:val="24"/>
        </w:rPr>
        <w:t xml:space="preserve"> </w:t>
      </w:r>
      <w:r>
        <w:rPr>
          <w:rFonts w:ascii="Times New Roman" w:hAnsi="Times New Roman"/>
          <w:b/>
          <w:sz w:val="24"/>
        </w:rPr>
        <w:t>год</w:t>
      </w:r>
      <w:r>
        <w:rPr>
          <w:rFonts w:ascii="Times New Roman" w:hAnsi="Times New Roman"/>
          <w:b/>
          <w:spacing w:val="-13"/>
          <w:sz w:val="24"/>
        </w:rPr>
        <w:t xml:space="preserve"> </w:t>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rPr>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rPr>
      </w:r>
    </w:p>
    <w:p>
      <w:pPr>
        <w:pStyle w:val="Normal"/>
        <w:numPr>
          <w:ilvl w:val="0"/>
          <w:numId w:val="1"/>
        </w:numPr>
        <w:spacing w:before="0" w:after="200"/>
        <w:ind w:hanging="240" w:left="240"/>
        <w:jc w:val="both"/>
        <w:rPr>
          <w:rFonts w:ascii="Times New Roman" w:hAnsi="Times New Roman"/>
        </w:rPr>
      </w:pPr>
      <w:r>
        <w:rPr>
          <w:rFonts w:ascii="Times New Roman" w:hAnsi="Times New Roman"/>
          <w:b/>
          <w:sz w:val="24"/>
        </w:rPr>
        <w:t>Место дисциплины в структуре ОПОП</w:t>
      </w:r>
    </w:p>
    <w:p>
      <w:pPr>
        <w:pStyle w:val="Normal"/>
        <w:spacing w:lineRule="auto" w:line="252" w:before="0" w:after="558"/>
        <w:ind w:hanging="10" w:left="-5" w:right="17"/>
        <w:jc w:val="both"/>
        <w:rPr>
          <w:rFonts w:ascii="Times New Roman" w:hAnsi="Times New Roman"/>
        </w:rPr>
      </w:pPr>
      <w:r>
        <w:rPr>
          <w:rFonts w:ascii="Times New Roman" w:hAnsi="Times New Roman"/>
          <w:sz w:val="24"/>
        </w:rPr>
        <w:t>Дисциплина Б1.О.09 Клиническая фармакология относится к обязательной части образовательной программы.</w:t>
      </w:r>
    </w:p>
    <w:p>
      <w:pPr>
        <w:pStyle w:val="Normal"/>
        <w:numPr>
          <w:ilvl w:val="0"/>
          <w:numId w:val="1"/>
        </w:numPr>
        <w:spacing w:before="0" w:after="150"/>
        <w:ind w:hanging="240" w:left="240"/>
        <w:jc w:val="both"/>
        <w:rPr>
          <w:rFonts w:ascii="Times New Roman" w:hAnsi="Times New Roman"/>
        </w:rPr>
      </w:pPr>
      <w:r>
        <w:rPr>
          <w:rFonts w:ascii="Times New Roman" w:hAnsi="Times New Roman"/>
          <w:b/>
          <w:sz w:val="24"/>
        </w:rPr>
        <w:t xml:space="preserve">Планируемые результаты обучения по дисциплине, соотнесенные с планируемымирезультатами освоения образовательной программы (компетенциями и индикаторами достижения компетенций) </w:t>
      </w:r>
    </w:p>
    <w:tbl>
      <w:tblPr>
        <w:tblStyle w:val="TableGrid"/>
        <w:tblW w:w="10356" w:type="dxa"/>
        <w:jc w:val="left"/>
        <w:tblInd w:w="0" w:type="dxa"/>
        <w:tblLayout w:type="fixed"/>
        <w:tblCellMar>
          <w:top w:w="13" w:type="dxa"/>
          <w:left w:w="37" w:type="dxa"/>
          <w:bottom w:w="6" w:type="dxa"/>
          <w:right w:w="106" w:type="dxa"/>
        </w:tblCellMar>
        <w:tblLook w:firstRow="1" w:noVBand="1" w:lastRow="0" w:firstColumn="1" w:lastColumn="0" w:noHBand="0" w:val="04a0"/>
      </w:tblPr>
      <w:tblGrid>
        <w:gridCol w:w="1842"/>
        <w:gridCol w:w="2409"/>
        <w:gridCol w:w="2546"/>
        <w:gridCol w:w="1849"/>
        <w:gridCol w:w="1710"/>
      </w:tblGrid>
      <w:tr>
        <w:trPr>
          <w:trHeight w:val="808" w:hRule="atLeast"/>
        </w:trPr>
        <w:tc>
          <w:tcPr>
            <w:tcW w:w="1842"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8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Формируемые компетенции</w:t>
            </w:r>
          </w:p>
          <w:p>
            <w:pPr>
              <w:pStyle w:val="Normal"/>
              <w:widowControl/>
              <w:suppressAutoHyphens w:val="true"/>
              <w:spacing w:lineRule="auto" w:line="240" w:before="0" w:after="0"/>
              <w:ind w:hanging="0" w:left="18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(код, содержание компетенции)</w:t>
            </w:r>
          </w:p>
        </w:tc>
        <w:tc>
          <w:tcPr>
            <w:tcW w:w="4955"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30" w:right="3"/>
              <w:jc w:val="both"/>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Планируемые результаты обучения по дисциплине (модулю), в соответствии с индикатором достижения компетенции</w:t>
            </w:r>
          </w:p>
        </w:tc>
        <w:tc>
          <w:tcPr>
            <w:tcW w:w="3559"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3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Наименование оценочного средства</w:t>
            </w:r>
          </w:p>
        </w:tc>
      </w:tr>
      <w:tr>
        <w:trPr>
          <w:trHeight w:val="934" w:hRule="atLeast"/>
        </w:trPr>
        <w:tc>
          <w:tcPr>
            <w:tcW w:w="184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3" w:before="0" w:after="0"/>
              <w:ind w:hanging="0" w:left="74"/>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Индикатор достижения компетенции</w:t>
            </w:r>
          </w:p>
          <w:p>
            <w:pPr>
              <w:pStyle w:val="Normal"/>
              <w:widowControl/>
              <w:tabs>
                <w:tab w:val="clear" w:pos="720"/>
                <w:tab w:val="center" w:pos="848" w:leader="none"/>
                <w:tab w:val="right" w:pos="2267" w:leader="none"/>
              </w:tabs>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(код,</w:t>
              <w:tab/>
              <w:t xml:space="preserve"> </w:t>
              <w:tab/>
              <w:t>содержание</w:t>
            </w:r>
          </w:p>
          <w:p>
            <w:pPr>
              <w:pStyle w:val="Normal"/>
              <w:widowControl/>
              <w:suppressAutoHyphens w:val="true"/>
              <w:spacing w:lineRule="auto" w:line="240" w:before="0" w:after="0"/>
              <w:ind w:hanging="0" w:left="74"/>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индикатора)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73" w:right="164"/>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Результаты обучения по дисциплине</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618" w:leader="none"/>
                <w:tab w:val="right" w:pos="1705" w:leader="none"/>
              </w:tabs>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Для</w:t>
              <w:tab/>
              <w:t xml:space="preserve"> </w:t>
              <w:tab/>
              <w:t>текущего</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контроля успеваемости</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Для промежуточной аттестации</w:t>
            </w:r>
          </w:p>
        </w:tc>
      </w:tr>
      <w:tr>
        <w:trPr>
          <w:trHeight w:val="8836"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 Способен участвовать в оказании неотложной медицинской помощи при состояниях, требующих срочного медицинского вмешательства</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ОПК-10.1: Оценивает состояния пациентов и необходимость оказания неотложной медицинской помощи</w:t>
            </w:r>
          </w:p>
          <w:p>
            <w:pPr>
              <w:pStyle w:val="Normal"/>
              <w:widowControl/>
              <w:suppressAutoHyphens w:val="true"/>
              <w:spacing w:lineRule="auto" w:line="24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ОПК-10.2: Оказывает неотложную медицинскую помощь при состояниях, требующих срочного медицинского  вмешательства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ОПК-10.1:</w:t>
            </w:r>
          </w:p>
          <w:p>
            <w:pPr>
              <w:pStyle w:val="Normal"/>
              <w:widowControl/>
              <w:suppressAutoHyphens w:val="true"/>
              <w:spacing w:lineRule="auto" w:line="290" w:before="0" w:after="378"/>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 владеть способами оценки состояний пациентов и необходимости оказания неотложной медицинской помощи</w:t>
            </w:r>
          </w:p>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ОПК-10.2:</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оказания неотложной медицинской помощи при состояниях, требующих срочного медицинского вмешательства уметь оказывать неотложной медицинскую помощь при состояниях, требующих срочного медицинского вмешательства владеть навыками оказания неотложной медицинской помощи при состояниях, требующих срочного медицинского вмешательства</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Тест</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73" w:right="15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 Контрольные вопросы</w:t>
            </w:r>
          </w:p>
        </w:tc>
      </w:tr>
      <w:tr>
        <w:trPr>
          <w:trHeight w:val="1066"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 Способен назначать лечение пациентам при заболеваниях и (или) состояниях, контролировать его</w:t>
            </w:r>
          </w:p>
          <w:p>
            <w:pPr>
              <w:pStyle w:val="Normal"/>
              <w:widowControl/>
              <w:suppressAutoHyphens w:val="true"/>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эффективность и безопасность</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ОПК-5.1: Назначает лечение пациентам при заболеваниях</w:t>
            </w:r>
          </w:p>
          <w:p>
            <w:pPr>
              <w:pStyle w:val="Normal"/>
              <w:widowControl/>
              <w:suppressAutoHyphens w:val="true"/>
              <w:spacing w:lineRule="auto" w:line="24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 (или) состояниях ОПК-5.2: Контролирует эффективность и безопасность назначенного лечения</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ОПК-5.1:</w:t>
            </w:r>
          </w:p>
          <w:p>
            <w:pPr>
              <w:pStyle w:val="Normal"/>
              <w:widowControl/>
              <w:suppressAutoHyphens w:val="true"/>
              <w:spacing w:lineRule="auto" w:line="29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необходимое лечение пациентам при заболеваниях и</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(или) состояниях уметь назначать лечение пациентам при заболеваниях и</w:t>
            </w:r>
          </w:p>
          <w:p>
            <w:pPr>
              <w:pStyle w:val="Normal"/>
              <w:widowControl/>
              <w:suppressAutoHyphens w:val="true"/>
              <w:spacing w:lineRule="auto" w:line="290" w:before="0" w:after="378"/>
              <w:ind w:hanging="0" w:left="0" w:right="161"/>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(или) состояниях владеть необходимой информацией для назначения лечения пациентам при заболеваниях и (или) состояниях</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ОПК-5.2: 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 при заболеваниях и (или) состояниях, в том числе при реализации индивидуальных программ реабилитации или реабилитации инвалидов уметь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владеть способами контроля  эффективности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Тест</w:t>
            </w:r>
          </w:p>
        </w:tc>
        <w:tc>
          <w:tcPr>
            <w:tcW w:w="1710" w:type="dxa"/>
            <w:tcBorders>
              <w:top w:val="single" w:sz="4" w:space="0" w:color="000000"/>
              <w:left w:val="single" w:sz="4" w:space="0" w:color="000000"/>
              <w:bottom w:val="single" w:sz="4" w:space="0" w:color="000000"/>
              <w:right w:val="single" w:sz="4" w:space="0" w:color="000000"/>
            </w:tcBorders>
            <w:vAlign w:val="bottom"/>
          </w:tcPr>
          <w:p>
            <w:pPr>
              <w:pStyle w:val="Normal"/>
              <w:widowControl/>
              <w:suppressAutoHyphens w:val="true"/>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Контрольные  вопросы</w:t>
            </w:r>
          </w:p>
        </w:tc>
      </w:tr>
      <w:tr>
        <w:trPr>
          <w:trHeight w:val="1066" w:hRule="atLeast"/>
        </w:trPr>
        <w:tc>
          <w:tcPr>
            <w:tcW w:w="1842" w:type="dxa"/>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 Способен к оказанию медицинской помощи пациентам, страдающим заболеваниями терапевтического профиля.</w:t>
            </w:r>
          </w:p>
        </w:tc>
        <w:tc>
          <w:tcPr>
            <w:tcW w:w="2409" w:type="dxa"/>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0" w:right="38"/>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ПК-1.1: Проводит обследования пациентов, страдающих заболеваниями терапевтического профиля ПК-1.2: Оказывает необходимую медицинскую помощь пациентам, страдающим заболеваниями терапевтического  профиля</w:t>
            </w:r>
          </w:p>
        </w:tc>
        <w:tc>
          <w:tcPr>
            <w:tcW w:w="2546" w:type="dxa"/>
            <w:tcBorders>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ПК-1.1:</w:t>
            </w:r>
          </w:p>
          <w:p>
            <w:pPr>
              <w:pStyle w:val="Normal"/>
              <w:widowControl/>
              <w:suppressAutoHyphens w:val="true"/>
              <w:spacing w:lineRule="auto" w:line="290" w:before="0" w:after="378"/>
              <w:ind w:hanging="0" w:left="0" w:right="64"/>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и методы проведения обследования пациентов, страдающих заболеваниями терапевтического  профиля уметь проводить обследования пациентов, страдающих заболеваниями терапевтического  профиля владеть навыками проведения обследования пациентов, страдающих заболеваниями терапевтического профиля</w:t>
            </w:r>
          </w:p>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ПК-1.2:</w:t>
            </w:r>
          </w:p>
          <w:p>
            <w:pPr>
              <w:pStyle w:val="Normal"/>
              <w:widowControl/>
              <w:suppressAutoHyphens w:val="true"/>
              <w:spacing w:lineRule="auto" w:line="240" w:before="0" w:after="0"/>
              <w:ind w:hanging="0" w:left="0" w:right="185"/>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оказания необходимой медицинской помощи пациентам, страдающим заболеваниями терапевтического профиля уметь оказывать медицинскую помощь пациентам, страдающим заболеваниями терапевтического  профиля владеть навыками оказания необходимой медицинской помощи пациентам, страдающим заболеваниями терапевтического  профиля</w:t>
            </w:r>
          </w:p>
        </w:tc>
        <w:tc>
          <w:tcPr>
            <w:tcW w:w="1849" w:type="dxa"/>
            <w:tcBorders>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Тест</w:t>
            </w:r>
          </w:p>
        </w:tc>
        <w:tc>
          <w:tcPr>
            <w:tcW w:w="1710" w:type="dxa"/>
            <w:tcBorders>
              <w:left w:val="single" w:sz="4" w:space="0" w:color="000000"/>
              <w:bottom w:val="single" w:sz="4" w:space="0" w:color="000000"/>
              <w:right w:val="single" w:sz="4" w:space="0" w:color="000000"/>
            </w:tcBorders>
            <w:vAlign w:val="bottom"/>
          </w:tcPr>
          <w:p>
            <w:pPr>
              <w:pStyle w:val="Normal"/>
              <w:suppressAutoHyphens w:val="true"/>
              <w:spacing w:before="0" w:after="3"/>
              <w:rPr>
                <w:rFonts w:ascii="Times New Roman" w:hAnsi="Times New Roman"/>
              </w:rPr>
            </w:pPr>
            <w:r>
              <w:rPr>
                <w:rFonts w:ascii="Times New Roman" w:hAnsi="Times New Roman"/>
                <w:i/>
                <w:kern w:val="0"/>
                <w:sz w:val="18"/>
                <w:szCs w:val="22"/>
                <w:lang w:val="en-US" w:eastAsia="en-US" w:bidi="ar-SA"/>
              </w:rPr>
              <w:t>Зачёт: Контрольные вопросы</w:t>
            </w:r>
          </w:p>
        </w:tc>
      </w:tr>
    </w:tbl>
    <w:p>
      <w:pPr>
        <w:pStyle w:val="Normal"/>
        <w:spacing w:before="0" w:after="0"/>
        <w:ind w:hanging="0" w:left="-994" w:right="11332"/>
        <w:rPr>
          <w:rFonts w:ascii="Times New Roman" w:hAnsi="Times New Roman"/>
        </w:rPr>
      </w:pPr>
      <w:r>
        <w:rPr>
          <w:rFonts w:ascii="Times New Roman" w:hAnsi="Times New Roman"/>
        </w:rPr>
      </w:r>
    </w:p>
    <w:p>
      <w:pPr>
        <w:pStyle w:val="Normal"/>
        <w:spacing w:before="0" w:after="0"/>
        <w:ind w:hanging="0" w:left="-994" w:right="11332"/>
        <w:rPr>
          <w:rFonts w:ascii="Times New Roman" w:hAnsi="Times New Roman"/>
        </w:rPr>
      </w:pPr>
      <w:r>
        <w:rPr>
          <w:rFonts w:ascii="Times New Roman" w:hAnsi="Times New Roman"/>
        </w:rPr>
      </w:r>
    </w:p>
    <w:p>
      <w:pPr>
        <w:pStyle w:val="Normal"/>
        <w:numPr>
          <w:ilvl w:val="0"/>
          <w:numId w:val="1"/>
        </w:numPr>
        <w:spacing w:before="0" w:after="0"/>
        <w:ind w:hanging="240" w:left="240"/>
        <w:jc w:val="both"/>
        <w:rPr>
          <w:rFonts w:ascii="Times New Roman" w:hAnsi="Times New Roman"/>
        </w:rPr>
      </w:pPr>
      <w:r>
        <w:rPr>
          <w:rFonts w:ascii="Times New Roman" w:hAnsi="Times New Roman"/>
          <w:b/>
          <w:sz w:val="24"/>
        </w:rPr>
        <w:t>Структура и содержание дисциплины 3.1  Трудоемкость дисциплины</w:t>
      </w:r>
    </w:p>
    <w:tbl>
      <w:tblPr>
        <w:tblStyle w:val="TableGrid"/>
        <w:tblW w:w="10320" w:type="dxa"/>
        <w:jc w:val="left"/>
        <w:tblInd w:w="0" w:type="dxa"/>
        <w:tblLayout w:type="fixed"/>
        <w:tblCellMar>
          <w:top w:w="13" w:type="dxa"/>
          <w:left w:w="109" w:type="dxa"/>
          <w:bottom w:w="0" w:type="dxa"/>
          <w:right w:w="115" w:type="dxa"/>
        </w:tblCellMar>
        <w:tblLook w:firstRow="1" w:noVBand="1" w:lastRow="0" w:firstColumn="1" w:lastColumn="0" w:noHBand="0" w:val="04a0"/>
      </w:tblPr>
      <w:tblGrid>
        <w:gridCol w:w="7792"/>
        <w:gridCol w:w="2527"/>
      </w:tblGrid>
      <w:tr>
        <w:trPr>
          <w:trHeight w:val="608"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очная</w:t>
            </w:r>
          </w:p>
        </w:tc>
      </w:tr>
      <w:tr>
        <w:trPr>
          <w:trHeight w:val="324"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Общая трудоемкость, з.е.</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3</w:t>
            </w:r>
          </w:p>
        </w:tc>
      </w:tr>
      <w:tr>
        <w:trPr>
          <w:trHeight w:val="322"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Часов по учебному плану</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108</w:t>
            </w:r>
          </w:p>
        </w:tc>
      </w:tr>
      <w:tr>
        <w:trPr>
          <w:trHeight w:val="324"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в том числе</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аудиторные занятия (контактная работа):</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4"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занятия лекционного типа</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0</w:t>
            </w:r>
          </w:p>
        </w:tc>
      </w:tr>
      <w:tr>
        <w:trPr>
          <w:trHeight w:val="380"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занятия семинарского типа (практические занятия / лабораторные работы)</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60</w:t>
            </w:r>
          </w:p>
        </w:tc>
      </w:tr>
      <w:tr>
        <w:trPr>
          <w:trHeight w:val="380"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КСР</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1</w:t>
            </w:r>
          </w:p>
        </w:tc>
      </w:tr>
      <w:tr>
        <w:trPr>
          <w:trHeight w:val="322"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самостоятельная работа</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47</w:t>
            </w:r>
          </w:p>
        </w:tc>
      </w:tr>
      <w:tr>
        <w:trPr>
          <w:trHeight w:val="624"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Промежуточная аттестация</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6"/>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0</w:t>
            </w:r>
          </w:p>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Зачёт</w:t>
            </w:r>
          </w:p>
        </w:tc>
      </w:tr>
    </w:tbl>
    <w:p>
      <w:pPr>
        <w:pStyle w:val="Normal"/>
        <w:spacing w:before="0" w:after="1"/>
        <w:ind w:hanging="0" w:left="0"/>
        <w:rPr>
          <w:rFonts w:ascii="Times New Roman" w:hAnsi="Times New Roman"/>
        </w:rPr>
      </w:pPr>
      <w:r>
        <w:rPr>
          <w:rFonts w:ascii="Times New Roman" w:hAnsi="Times New Roman"/>
          <w:b/>
          <w:sz w:val="24"/>
        </w:rPr>
        <w:t>3.2.</w:t>
      </w:r>
      <w:r>
        <w:rPr>
          <w:rFonts w:ascii="Times New Roman" w:hAnsi="Times New Roman"/>
          <w:sz w:val="24"/>
        </w:rPr>
        <w:t xml:space="preserve">  </w:t>
      </w:r>
      <w:r>
        <w:rPr>
          <w:rFonts w:ascii="Times New Roman" w:hAnsi="Times New Roman"/>
          <w:sz w:val="24"/>
          <w:u w:val="single" w:color="000000"/>
        </w:rPr>
        <w:t>Содержание дисциплины</w:t>
      </w:r>
    </w:p>
    <w:p>
      <w:pPr>
        <w:pStyle w:val="Normal"/>
        <w:spacing w:lineRule="auto" w:line="259" w:before="0" w:after="181"/>
        <w:ind w:hanging="0" w:left="0"/>
        <w:rPr>
          <w:rFonts w:ascii="Times New Roman" w:hAnsi="Times New Roman"/>
        </w:rPr>
      </w:pPr>
      <w:r>
        <w:rPr>
          <w:rFonts w:ascii="Times New Roman" w:hAnsi="Times New Roman"/>
          <w:i/>
          <w:sz w:val="24"/>
        </w:rPr>
        <w:t>(структурированное по темам (разделам) с указанием отведенного на них количества академических часов и виды учебных занятий)</w:t>
      </w:r>
    </w:p>
    <w:p>
      <w:pPr>
        <w:pStyle w:val="Normal"/>
        <w:spacing w:before="0" w:after="0"/>
        <w:ind w:hanging="0" w:left="0"/>
        <w:rPr>
          <w:rFonts w:ascii="Times New Roman" w:hAnsi="Times New Roman"/>
        </w:rPr>
      </w:pPr>
      <w:r>
        <w:rPr>
          <w:rFonts w:ascii="Times New Roman" w:hAnsi="Times New Roman"/>
          <w:color w:val="FFF000"/>
        </w:rPr>
        <w:t>.</w:t>
      </w:r>
      <w:r>
        <w:rPr>
          <w:rFonts w:ascii="Times New Roman" w:hAnsi="Times New Roman"/>
        </w:rPr>
        <w:t xml:space="preserve"> </w:t>
      </w:r>
    </w:p>
    <w:tbl>
      <w:tblPr>
        <w:tblStyle w:val="TableGrid"/>
        <w:tblW w:w="10296" w:type="dxa"/>
        <w:jc w:val="left"/>
        <w:tblInd w:w="0" w:type="dxa"/>
        <w:tblLayout w:type="fixed"/>
        <w:tblCellMar>
          <w:top w:w="14" w:type="dxa"/>
          <w:left w:w="30" w:type="dxa"/>
          <w:bottom w:w="0" w:type="dxa"/>
          <w:right w:w="39" w:type="dxa"/>
        </w:tblCellMar>
        <w:tblLook w:firstRow="1" w:noVBand="1" w:lastRow="0" w:firstColumn="1" w:lastColumn="0" w:noHBand="0" w:val="04a0"/>
      </w:tblPr>
      <w:tblGrid>
        <w:gridCol w:w="5425"/>
        <w:gridCol w:w="735"/>
        <w:gridCol w:w="1098"/>
        <w:gridCol w:w="1177"/>
        <w:gridCol w:w="733"/>
        <w:gridCol w:w="1127"/>
      </w:tblGrid>
      <w:tr>
        <w:trPr>
          <w:trHeight w:val="266" w:hRule="atLeast"/>
        </w:trPr>
        <w:tc>
          <w:tcPr>
            <w:tcW w:w="5425"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Наименование разделов и тем дисциплины</w:t>
            </w:r>
          </w:p>
        </w:tc>
        <w:tc>
          <w:tcPr>
            <w:tcW w:w="735"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Всего (часы)</w:t>
            </w:r>
          </w:p>
        </w:tc>
        <w:tc>
          <w:tcPr>
            <w:tcW w:w="3008"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ind w:hanging="0" w:left="1719"/>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 том числе</w:t>
            </w:r>
          </w:p>
        </w:tc>
        <w:tc>
          <w:tcPr>
            <w:tcW w:w="1127"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16" w:hRule="atLeast"/>
        </w:trPr>
        <w:tc>
          <w:tcPr>
            <w:tcW w:w="5425" w:type="dxa"/>
            <w:vMerge w:val="continue"/>
            <w:tcBorders>
              <w:left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5" w:type="dxa"/>
            <w:vMerge w:val="continue"/>
            <w:tcBorders>
              <w:left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3008" w:type="dxa"/>
            <w:gridSpan w:val="3"/>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Контактная работа (работа во взаимодействии с преподавателем),</w:t>
            </w:r>
          </w:p>
          <w:p>
            <w:pPr>
              <w:pStyle w:val="Normal"/>
              <w:widowControl/>
              <w:suppressAutoHyphens w:val="true"/>
              <w:spacing w:lineRule="auto" w:line="240" w:before="0" w:after="0"/>
              <w:ind w:hanging="0"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часы из них</w:t>
            </w:r>
          </w:p>
        </w:tc>
        <w:tc>
          <w:tcPr>
            <w:tcW w:w="1127" w:type="dxa"/>
            <w:vMerge w:val="restart"/>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16"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Самостоятельная работа</w:t>
            </w:r>
          </w:p>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обучающегося, часы</w:t>
            </w:r>
          </w:p>
        </w:tc>
      </w:tr>
      <w:tr>
        <w:trPr>
          <w:trHeight w:val="1322" w:hRule="atLeast"/>
        </w:trPr>
        <w:tc>
          <w:tcPr>
            <w:tcW w:w="5425" w:type="dxa"/>
            <w:vMerge w:val="continue"/>
            <w:tcBorders>
              <w:left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5"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098"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Занятия лекционного типа</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Занятия семинарского типа</w:t>
            </w:r>
          </w:p>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(практические занятия/лабора торные работы), часы</w:t>
            </w:r>
          </w:p>
        </w:tc>
        <w:tc>
          <w:tcPr>
            <w:tcW w:w="733"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9"/>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Всего</w:t>
            </w:r>
          </w:p>
        </w:tc>
        <w:tc>
          <w:tcPr>
            <w:tcW w:w="1127"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94" w:hRule="atLeast"/>
        </w:trPr>
        <w:tc>
          <w:tcPr>
            <w:tcW w:w="5425"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241" w:right="22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424" w:right="4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462" w:right="45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241" w:right="22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539" w:right="52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 Общие вопросы клинической фармакологии.</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546"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2. Основные методы и методики, применяемые в клинической фармакологии для оценки действия лекарственных средств.</w:t>
            </w:r>
          </w:p>
        </w:tc>
        <w:tc>
          <w:tcPr>
            <w:tcW w:w="73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546"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3. Подходы к оптимизации эффективного и безопасного применения лекарственных средств.</w:t>
            </w:r>
          </w:p>
        </w:tc>
        <w:tc>
          <w:tcPr>
            <w:tcW w:w="73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4. Средства, влияющие на афферентную иннервацию.</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5. Средства, влияющие на эфферентную иннервацию.</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10</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6. Средства, влияющие на периферическую нервную систему.</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8</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7. Средства, оказывающие угнетающее действие на ЦНС.</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8</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8. Средства, оказывающие возбуждающее действие на ЦНС.</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9. Средства, применяемые в кардиологической практике.</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10. Антигипертензивные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11.Средства, улучшающие мозговое кровообращение.</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12. Средства, влияющие на функции органов пищеварения.</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13. Средства, влияющие на функции органов дыхания.</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14.Средства, применяемые при эндокринных заболеваниях.</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15. Средства, коррегирующие иммунные процессы.</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16. Средства, применяемые при ревматических болезнях.</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17. Средства, влияющие на тканевой обмен.</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18. Антибактериальные химиотерапевтические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19. Противовирусные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20. Противогрибковые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3</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21. Противопротозойные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424" w:hRule="atLeast"/>
        </w:trPr>
        <w:tc>
          <w:tcPr>
            <w:tcW w:w="542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Аттестация</w:t>
            </w:r>
          </w:p>
        </w:tc>
        <w:tc>
          <w:tcPr>
            <w:tcW w:w="73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098" w:type="dxa"/>
            <w:tcBorders>
              <w:top w:val="single" w:sz="2" w:space="0" w:color="555555"/>
              <w:left w:val="single" w:sz="2" w:space="0" w:color="555555"/>
              <w:bottom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77" w:type="dxa"/>
            <w:tcBorders>
              <w:top w:val="single" w:sz="2" w:space="0" w:color="555555"/>
              <w:bottom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3" w:type="dxa"/>
            <w:tcBorders>
              <w:top w:val="single" w:sz="2" w:space="0" w:color="555555"/>
              <w:bottom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27"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26" w:hRule="atLeast"/>
        </w:trPr>
        <w:tc>
          <w:tcPr>
            <w:tcW w:w="542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КСР</w:t>
            </w:r>
          </w:p>
        </w:tc>
        <w:tc>
          <w:tcPr>
            <w:tcW w:w="73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c>
          <w:tcPr>
            <w:tcW w:w="1098" w:type="dxa"/>
            <w:tcBorders>
              <w:top w:val="single" w:sz="2" w:space="0" w:color="555555"/>
              <w:left w:val="single" w:sz="2" w:space="0" w:color="555555"/>
              <w:bottom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77"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3"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c>
          <w:tcPr>
            <w:tcW w:w="112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Итого</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108</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60</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61</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47</w:t>
            </w:r>
          </w:p>
        </w:tc>
      </w:tr>
    </w:tbl>
    <w:p>
      <w:pPr>
        <w:pStyle w:val="Normal"/>
        <w:spacing w:before="0" w:after="140"/>
        <w:ind w:hanging="0" w:left="0" w:right="419"/>
        <w:jc w:val="center"/>
        <w:rPr>
          <w:rFonts w:ascii="Times New Roman" w:hAnsi="Times New Roman"/>
        </w:rPr>
      </w:pPr>
      <w:r>
        <w:rPr>
          <w:rFonts w:ascii="Times New Roman" w:hAnsi="Times New Roman"/>
          <w:b/>
        </w:rPr>
        <w:t>Содержание разделов и тем дисциплины</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 Общие вопросы клинической фармакологии.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 xml:space="preserve">Тема 2. Основные методы и методики, применяемые в клинической фармакологии для оценки действия лекарственных средств. </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3. Подходы к оптимизации эффективного и безопасного применения лекарственных средств. Тема 4. Средства, влияющие на афферентную иннервацию.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5. Средства, влияющие на эфферентную иннервацию.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6. Средства, влияющие на периферическую нервную систему.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7. Средства, оказывающие угнетающее действие на ЦНС.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8. Средства, оказывающие возбуждающее действие на ЦНС.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 xml:space="preserve">Тема 9. Средства, применяемые в кардиологической практике. Клиническая фармакология средств, </w:t>
      </w:r>
    </w:p>
    <w:p>
      <w:pPr>
        <w:pStyle w:val="Normal"/>
        <w:widowControl/>
        <w:bidi w:val="0"/>
        <w:spacing w:lineRule="auto" w:line="259"/>
        <w:ind w:hanging="0" w:left="0" w:right="680"/>
        <w:jc w:val="both"/>
        <w:rPr>
          <w:rFonts w:ascii="Times New Roman" w:hAnsi="Times New Roman"/>
        </w:rPr>
      </w:pPr>
      <w:r>
        <w:rPr>
          <w:rFonts w:ascii="Times New Roman" w:hAnsi="Times New Roman"/>
        </w:rPr>
        <w:t>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10. Антигипертензивные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11.Средства, улучшающие мозговое кровообращение.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12. Средства, влияющие на функции органов пищеварения.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13. Средства, влияющие на функции органов дыхания.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14.Средства, применяемые при эндокринных заболеваниях.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15. Средства, коррегирующие иммунные процессы.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16. Средства, применяемые при ревматических болезнях.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17. Средства, влияющие на тканевой обмен.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18. Антибактериальные химиотерапевтические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19. Противовирусные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20. Противогрибковые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before="0" w:after="592"/>
        <w:ind w:hanging="0" w:left="0" w:right="680"/>
        <w:jc w:val="both"/>
        <w:rPr>
          <w:rFonts w:ascii="Times New Roman" w:hAnsi="Times New Roman"/>
        </w:rPr>
      </w:pPr>
      <w:r>
        <w:rPr>
          <w:rFonts w:ascii="Times New Roman" w:hAnsi="Times New Roman"/>
        </w:rPr>
        <w:t>Тема 21. Противопротозойные средства. Клиническая фармакология средств, показания, противопоказания, нежелательные лекарственные реакции</w:t>
      </w:r>
    </w:p>
    <w:p>
      <w:pPr>
        <w:pStyle w:val="Normal"/>
        <w:numPr>
          <w:ilvl w:val="0"/>
          <w:numId w:val="2"/>
        </w:numPr>
        <w:spacing w:before="0" w:after="0"/>
        <w:ind w:hanging="300" w:left="300"/>
        <w:jc w:val="both"/>
        <w:rPr>
          <w:rFonts w:ascii="Times New Roman" w:hAnsi="Times New Roman"/>
        </w:rPr>
      </w:pPr>
      <w:r>
        <w:rPr>
          <w:rFonts w:ascii="Times New Roman" w:hAnsi="Times New Roman"/>
          <w:b/>
          <w:sz w:val="24"/>
        </w:rPr>
        <w:t>Учебно-методическое обеспечение самостоятельной работы обучающихся</w:t>
      </w:r>
    </w:p>
    <w:p>
      <w:pPr>
        <w:pStyle w:val="Normal"/>
        <w:widowControl/>
        <w:bidi w:val="0"/>
        <w:spacing w:lineRule="auto" w:line="252" w:before="0" w:after="323"/>
        <w:ind w:hanging="0" w:left="0" w:right="680"/>
        <w:jc w:val="both"/>
        <w:rPr>
          <w:rFonts w:ascii="Times New Roman" w:hAnsi="Times New Roman"/>
        </w:rPr>
      </w:pPr>
      <w:r>
        <w:rPr>
          <w:rFonts w:ascii="Times New Roman" w:hAnsi="Times New Roman"/>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pStyle w:val="Normal"/>
        <w:spacing w:lineRule="auto" w:line="252"/>
        <w:ind w:hanging="0" w:left="-5" w:right="17"/>
        <w:jc w:val="both"/>
        <w:rPr>
          <w:sz w:val="24"/>
        </w:rPr>
      </w:pPr>
      <w:r>
        <w:rPr>
          <w:sz w:val="24"/>
        </w:rPr>
      </w:r>
    </w:p>
    <w:p>
      <w:pPr>
        <w:pStyle w:val="Normal"/>
        <w:widowControl/>
        <w:numPr>
          <w:ilvl w:val="0"/>
          <w:numId w:val="2"/>
        </w:numPr>
        <w:bidi w:val="0"/>
        <w:spacing w:lineRule="auto" w:line="259" w:before="0" w:after="232"/>
        <w:ind w:hanging="283" w:left="283" w:right="680"/>
        <w:jc w:val="both"/>
        <w:rPr>
          <w:rFonts w:ascii="Times New Roman" w:hAnsi="Times New Roman"/>
        </w:rPr>
      </w:pPr>
      <w:r>
        <w:rPr>
          <w:rFonts w:ascii="Times New Roman" w:hAnsi="Times New Roman"/>
          <w:b/>
          <w:sz w:val="24"/>
        </w:rPr>
        <w:t>Фонд оценочных средств для текущего контроля успеваемости и промежуточной аттестации по дисциплине (модулю</w:t>
      </w:r>
      <w:r>
        <w:rPr>
          <w:rFonts w:ascii="Times New Roman" w:hAnsi="Times New Roman"/>
          <w:sz w:val="24"/>
        </w:rPr>
        <w:t>)</w:t>
      </w:r>
    </w:p>
    <w:p>
      <w:pPr>
        <w:pStyle w:val="Normal"/>
        <w:widowControl/>
        <w:numPr>
          <w:ilvl w:val="1"/>
          <w:numId w:val="2"/>
        </w:numPr>
        <w:bidi w:val="0"/>
        <w:spacing w:lineRule="auto" w:line="259" w:before="0" w:after="121"/>
        <w:ind w:hanging="0" w:left="737" w:right="737"/>
        <w:jc w:val="both"/>
        <w:rPr>
          <w:rFonts w:ascii="Times New Roman" w:hAnsi="Times New Roman"/>
        </w:rPr>
      </w:pPr>
      <w:r>
        <w:rPr>
          <w:rFonts w:ascii="Times New Roman" w:hAnsi="Times New Roman"/>
          <w:b/>
          <w:sz w:val="24"/>
        </w:rPr>
        <w:t>Типовые задания, необходимые для оценки результатов обучения при проведениитекущего контроля успеваемости с указанием критериев их оценивания:</w:t>
      </w:r>
    </w:p>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5.1.1 Типовые задания (оценочное средство - Задачи) для оценки сформированности компетенции ОПК-10:</w:t>
      </w:r>
    </w:p>
    <w:p>
      <w:pPr>
        <w:pStyle w:val="Normal"/>
        <w:widowControl/>
        <w:tabs>
          <w:tab w:val="clear" w:pos="720"/>
          <w:tab w:val="left" w:pos="9576" w:leader="none"/>
        </w:tabs>
        <w:bidi w:val="0"/>
        <w:spacing w:lineRule="auto" w:line="511" w:before="0" w:after="3"/>
        <w:ind w:hanging="0" w:left="0" w:right="737"/>
        <w:jc w:val="both"/>
        <w:rPr>
          <w:rFonts w:ascii="Times New Roman" w:hAnsi="Times New Roman"/>
        </w:rPr>
      </w:pPr>
      <w:r>
        <w:rPr>
          <w:rFonts w:ascii="Times New Roman" w:hAnsi="Times New Roman"/>
        </w:rPr>
        <w:t>Во время тушения пожара в одной из комнат строения был обнаружен пораженный без сознания. Зрачки расширены, дыхание редкое, ослабленное, пульс частый, едва прощупывается. Наружные покровы и губы цианотичны, на ощупь кожа холодная, временами судороги. При выносе у пораженного прекратилось дыхание.</w:t>
      </w:r>
    </w:p>
    <w:p>
      <w:pPr>
        <w:pStyle w:val="Normal"/>
        <w:spacing w:before="0" w:after="283"/>
        <w:ind w:hanging="10" w:left="-5" w:right="420"/>
        <w:jc w:val="both"/>
        <w:rPr>
          <w:rFonts w:ascii="Times New Roman" w:hAnsi="Times New Roman"/>
        </w:rPr>
      </w:pPr>
      <w:r>
        <w:rPr>
          <w:rFonts w:ascii="Times New Roman" w:hAnsi="Times New Roman"/>
        </w:rPr>
        <w:t>Вопросы к задаче №7:</w:t>
      </w:r>
    </w:p>
    <w:p>
      <w:pPr>
        <w:pStyle w:val="Normal"/>
        <w:spacing w:before="0" w:after="302"/>
        <w:ind w:hanging="10" w:left="-5" w:right="420"/>
        <w:jc w:val="both"/>
        <w:rPr>
          <w:rFonts w:ascii="Times New Roman" w:hAnsi="Times New Roman"/>
        </w:rPr>
      </w:pPr>
      <w:r>
        <w:rPr>
          <w:rFonts w:ascii="Times New Roman" w:hAnsi="Times New Roman"/>
        </w:rPr>
        <w:t>1. Что может быть рекомендовано пациенту?</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5.1.2 Типовые задания (оценочное средство - Задачи) для оценки сформированности компетенции ОПК-5:</w:t>
      </w:r>
    </w:p>
    <w:p>
      <w:pPr>
        <w:pStyle w:val="Normal"/>
        <w:spacing w:lineRule="auto" w:line="511"/>
        <w:ind w:hanging="10" w:left="-5" w:right="734"/>
        <w:jc w:val="both"/>
        <w:rPr>
          <w:rFonts w:ascii="Times New Roman" w:hAnsi="Times New Roman"/>
        </w:rPr>
      </w:pPr>
      <w:r>
        <w:rPr>
          <w:rFonts w:ascii="Times New Roman" w:hAnsi="Times New Roman"/>
        </w:rPr>
        <w:t>В медицинскую организацию обратилась женщина 32 лет после холецистэктомии, которую беспокоит отрыжка, метеоризм, горечь во рту, проблемы со стулом, тошнота.</w:t>
      </w:r>
    </w:p>
    <w:p>
      <w:pPr>
        <w:pStyle w:val="Normal"/>
        <w:ind w:hanging="10" w:left="-5" w:right="420"/>
        <w:jc w:val="both"/>
        <w:rPr>
          <w:rFonts w:ascii="Times New Roman" w:hAnsi="Times New Roman"/>
        </w:rPr>
      </w:pPr>
      <w:r>
        <w:rPr>
          <w:rFonts w:ascii="Times New Roman" w:hAnsi="Times New Roman"/>
        </w:rPr>
        <w:t>Вопросы к задаче №6:</w:t>
      </w:r>
    </w:p>
    <w:p>
      <w:pPr>
        <w:pStyle w:val="Normal"/>
        <w:numPr>
          <w:ilvl w:val="0"/>
          <w:numId w:val="3"/>
        </w:numPr>
        <w:spacing w:before="0" w:after="283"/>
        <w:ind w:hanging="220" w:left="220" w:right="420"/>
        <w:jc w:val="both"/>
        <w:rPr>
          <w:rFonts w:ascii="Times New Roman" w:hAnsi="Times New Roman"/>
        </w:rPr>
      </w:pPr>
      <w:r>
        <w:rPr>
          <w:rFonts w:ascii="Times New Roman" w:hAnsi="Times New Roman"/>
        </w:rPr>
        <w:t>Каковы направления реабилитации?</w:t>
      </w:r>
    </w:p>
    <w:p>
      <w:pPr>
        <w:pStyle w:val="Normal"/>
        <w:numPr>
          <w:ilvl w:val="0"/>
          <w:numId w:val="3"/>
        </w:numPr>
        <w:spacing w:before="0" w:after="283"/>
        <w:ind w:hanging="220" w:left="220" w:right="420"/>
        <w:rPr>
          <w:rFonts w:ascii="Times New Roman" w:hAnsi="Times New Roman"/>
        </w:rPr>
      </w:pPr>
      <w:r>
        <w:rPr>
          <w:rFonts w:ascii="Times New Roman" w:hAnsi="Times New Roman"/>
        </w:rPr>
        <w:t>Какова медикаментозная терапия на амбулаторном этапе реабилитации?</w:t>
      </w:r>
    </w:p>
    <w:p>
      <w:pPr>
        <w:pStyle w:val="Normal"/>
        <w:numPr>
          <w:ilvl w:val="0"/>
          <w:numId w:val="3"/>
        </w:numPr>
        <w:spacing w:before="0" w:after="302"/>
        <w:ind w:hanging="220" w:left="220" w:right="420"/>
        <w:rPr>
          <w:rFonts w:ascii="Times New Roman" w:hAnsi="Times New Roman"/>
        </w:rPr>
      </w:pPr>
      <w:r>
        <w:rPr>
          <w:rFonts w:ascii="Times New Roman" w:hAnsi="Times New Roman"/>
        </w:rPr>
        <w:t>Какие немедикаментозные методы лечения эффективны в данной ситуации?</w:t>
      </w:r>
    </w:p>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5.1.3 Типовые задания (оценочное средство - Задачи) для оценки сформированности компетенции ОПК-6:</w:t>
      </w:r>
    </w:p>
    <w:p>
      <w:pPr>
        <w:pStyle w:val="Normal"/>
        <w:spacing w:lineRule="auto" w:line="511"/>
        <w:ind w:hanging="10" w:left="-5" w:right="420"/>
        <w:jc w:val="both"/>
        <w:rPr>
          <w:rFonts w:ascii="Times New Roman" w:hAnsi="Times New Roman"/>
        </w:rPr>
      </w:pPr>
      <w:r>
        <w:rPr>
          <w:rFonts w:ascii="Times New Roman" w:hAnsi="Times New Roman"/>
        </w:rPr>
        <w:t>В медицинскую организацию, где отсутствует врач-кардиолог, обратился мужчина 42 лет после стационарной реабилитации инфаркта миокарда легкой степени и с низким сердечно-сосудистым риском.</w:t>
      </w:r>
    </w:p>
    <w:p>
      <w:pPr>
        <w:pStyle w:val="Normal"/>
        <w:spacing w:before="0" w:after="283"/>
        <w:ind w:hanging="10" w:left="-5" w:right="420"/>
        <w:jc w:val="both"/>
        <w:rPr>
          <w:rFonts w:ascii="Times New Roman" w:hAnsi="Times New Roman"/>
        </w:rPr>
      </w:pPr>
      <w:r>
        <w:rPr>
          <w:rFonts w:ascii="Times New Roman" w:hAnsi="Times New Roman"/>
        </w:rPr>
        <w:t>Вопросы к задаче №2:</w:t>
      </w:r>
    </w:p>
    <w:p>
      <w:pPr>
        <w:pStyle w:val="Normal"/>
        <w:numPr>
          <w:ilvl w:val="0"/>
          <w:numId w:val="4"/>
        </w:numPr>
        <w:spacing w:before="0" w:after="283"/>
        <w:ind w:hanging="220" w:left="220" w:right="420"/>
        <w:jc w:val="both"/>
        <w:rPr>
          <w:rFonts w:ascii="Times New Roman" w:hAnsi="Times New Roman"/>
        </w:rPr>
      </w:pPr>
      <w:r>
        <w:rPr>
          <w:rFonts w:ascii="Times New Roman" w:hAnsi="Times New Roman"/>
        </w:rPr>
        <w:t>Каков прогноз заболевания?</w:t>
      </w:r>
    </w:p>
    <w:p>
      <w:pPr>
        <w:pStyle w:val="Normal"/>
        <w:numPr>
          <w:ilvl w:val="0"/>
          <w:numId w:val="4"/>
        </w:numPr>
        <w:spacing w:lineRule="auto" w:line="511"/>
        <w:ind w:hanging="220" w:left="220" w:right="420"/>
        <w:jc w:val="both"/>
        <w:rPr>
          <w:rFonts w:ascii="Times New Roman" w:hAnsi="Times New Roman"/>
        </w:rPr>
      </w:pPr>
      <w:r>
        <w:rPr>
          <w:rFonts w:ascii="Times New Roman" w:hAnsi="Times New Roman"/>
        </w:rPr>
        <w:t>Какие медикаментозные методы лечения следует применять на амбулаторном этапелечения?</w:t>
      </w:r>
    </w:p>
    <w:p>
      <w:pPr>
        <w:pStyle w:val="Normal"/>
        <w:numPr>
          <w:ilvl w:val="0"/>
          <w:numId w:val="4"/>
        </w:numPr>
        <w:spacing w:before="0" w:after="302"/>
        <w:ind w:hanging="220" w:left="220" w:right="420"/>
        <w:jc w:val="both"/>
        <w:rPr>
          <w:rFonts w:ascii="Times New Roman" w:hAnsi="Times New Roman"/>
        </w:rPr>
      </w:pPr>
      <w:r>
        <w:rPr>
          <w:rFonts w:ascii="Times New Roman" w:hAnsi="Times New Roman"/>
        </w:rPr>
        <w:t>Какие немедикаментозные методы лечения эффективны в данной ситуации?</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5.1.4 Типовые задания (оценочное средство - Задачи) для оценки сформированности компетенции ПК-1:</w:t>
      </w:r>
    </w:p>
    <w:p>
      <w:pPr>
        <w:pStyle w:val="Normal"/>
        <w:widowControl/>
        <w:bidi w:val="0"/>
        <w:spacing w:lineRule="auto" w:line="511" w:before="0" w:after="3"/>
        <w:ind w:hanging="0" w:left="0" w:right="737"/>
        <w:jc w:val="both"/>
        <w:rPr>
          <w:rFonts w:ascii="Times New Roman" w:hAnsi="Times New Roman"/>
        </w:rPr>
      </w:pPr>
      <w:r>
        <w:rPr>
          <w:rFonts w:ascii="Times New Roman" w:hAnsi="Times New Roman"/>
        </w:rPr>
        <w:t>В медицинскую организацию обратилась женщина 54 лет, которая жалуется на приступы боли в середине грудной клетки, которые ощущаются как сильное сжимание, и отдают в левую руку, шею, плечо, нижнюю челюсть, под лопатку. Продолжительность приступа от 1-2 до 10 минут. Чаще всего боль провоцируется физической нагрузкой (бег, поднимание тяжестей, подъем по лестнице) или эмоциональным стрессом.</w:t>
      </w:r>
    </w:p>
    <w:p>
      <w:pPr>
        <w:pStyle w:val="Normal"/>
        <w:spacing w:before="0" w:after="283"/>
        <w:ind w:hanging="10" w:left="-5" w:right="420"/>
        <w:rPr>
          <w:rFonts w:ascii="Times New Roman" w:hAnsi="Times New Roman"/>
        </w:rPr>
      </w:pPr>
      <w:r>
        <w:rPr>
          <w:rFonts w:ascii="Times New Roman" w:hAnsi="Times New Roman"/>
        </w:rPr>
        <w:t>Вопросы к задаче №1:</w:t>
      </w:r>
    </w:p>
    <w:p>
      <w:pPr>
        <w:pStyle w:val="Normal"/>
        <w:numPr>
          <w:ilvl w:val="0"/>
          <w:numId w:val="5"/>
        </w:numPr>
        <w:spacing w:before="0" w:after="283"/>
        <w:ind w:hanging="220" w:left="220" w:right="420"/>
        <w:rPr>
          <w:rFonts w:ascii="Times New Roman" w:hAnsi="Times New Roman"/>
        </w:rPr>
      </w:pPr>
      <w:r>
        <w:rPr>
          <w:rFonts w:ascii="Times New Roman" w:hAnsi="Times New Roman"/>
        </w:rPr>
        <w:t>Какой предположительно можно поставить диагноз?</w:t>
      </w:r>
    </w:p>
    <w:p>
      <w:pPr>
        <w:pStyle w:val="Normal"/>
        <w:numPr>
          <w:ilvl w:val="0"/>
          <w:numId w:val="5"/>
        </w:numPr>
        <w:spacing w:before="0" w:after="283"/>
        <w:ind w:hanging="220" w:left="220" w:right="420"/>
        <w:rPr>
          <w:rFonts w:ascii="Times New Roman" w:hAnsi="Times New Roman"/>
        </w:rPr>
      </w:pPr>
      <w:r>
        <w:rPr>
          <w:rFonts w:ascii="Times New Roman" w:hAnsi="Times New Roman"/>
        </w:rPr>
        <w:t>Каков прогноз заболевания?</w:t>
      </w:r>
    </w:p>
    <w:p>
      <w:pPr>
        <w:pStyle w:val="Normal"/>
        <w:numPr>
          <w:ilvl w:val="0"/>
          <w:numId w:val="5"/>
        </w:numPr>
        <w:spacing w:before="0" w:after="283"/>
        <w:ind w:hanging="220" w:left="220" w:right="420"/>
        <w:rPr>
          <w:rFonts w:ascii="Times New Roman" w:hAnsi="Times New Roman"/>
        </w:rPr>
      </w:pPr>
      <w:r>
        <w:rPr>
          <w:rFonts w:ascii="Times New Roman" w:hAnsi="Times New Roman"/>
        </w:rPr>
        <w:t>Какая фармакотерапевтическая помощь должна быть оказана?</w:t>
      </w:r>
    </w:p>
    <w:p>
      <w:pPr>
        <w:pStyle w:val="Normal"/>
        <w:numPr>
          <w:ilvl w:val="0"/>
          <w:numId w:val="5"/>
        </w:numPr>
        <w:spacing w:before="0" w:after="302"/>
        <w:ind w:hanging="220" w:left="220" w:right="420"/>
        <w:rPr>
          <w:rFonts w:ascii="Times New Roman" w:hAnsi="Times New Roman"/>
        </w:rPr>
      </w:pPr>
      <w:r>
        <w:rPr>
          <w:rFonts w:ascii="Times New Roman" w:hAnsi="Times New Roman"/>
        </w:rPr>
        <w:t>Каковы особенности организации ответственного самолечения в амбулаторных условиях?</w:t>
      </w:r>
    </w:p>
    <w:p>
      <w:pPr>
        <w:pStyle w:val="Normal"/>
        <w:spacing w:before="0" w:after="121"/>
        <w:ind w:hanging="10" w:left="-5"/>
        <w:jc w:val="both"/>
        <w:rPr>
          <w:rFonts w:ascii="Times New Roman" w:hAnsi="Times New Roman"/>
        </w:rPr>
      </w:pPr>
      <w:r>
        <w:rPr>
          <w:rFonts w:ascii="Times New Roman" w:hAnsi="Times New Roman"/>
          <w:b/>
          <w:sz w:val="24"/>
        </w:rPr>
        <w:t>Критерии оценивания (оценочное средство - Задачи)</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968"/>
        <w:gridCol w:w="8781"/>
      </w:tblGrid>
      <w:tr>
        <w:trPr>
          <w:trHeight w:val="636" w:hRule="atLeast"/>
        </w:trPr>
        <w:tc>
          <w:tcPr>
            <w:tcW w:w="9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08"/>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606" w:hRule="atLeast"/>
        </w:trPr>
        <w:tc>
          <w:tcPr>
            <w:tcW w:w="9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ординатор правильно решил задачу, дал полный и развернутый ответ по ней.</w:t>
            </w:r>
          </w:p>
        </w:tc>
      </w:tr>
      <w:tr>
        <w:trPr>
          <w:trHeight w:val="898" w:hRule="atLeast"/>
        </w:trPr>
        <w:tc>
          <w:tcPr>
            <w:tcW w:w="9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обучающийся не справился с предложенной ситуационной задачей, не смог правильно интерпретировать ее решение и не справляется с дополнительным заданием.</w:t>
            </w:r>
          </w:p>
        </w:tc>
      </w:tr>
    </w:tbl>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5.1.5 Типовые задания (оценочное средство - Тест) для оценки сформированности компетенции ОПК-10:</w:t>
      </w:r>
    </w:p>
    <w:p>
      <w:pPr>
        <w:pStyle w:val="Normal"/>
        <w:spacing w:before="0" w:after="283"/>
        <w:ind w:hanging="10" w:left="-5" w:right="420"/>
        <w:rPr>
          <w:rFonts w:ascii="Times New Roman" w:hAnsi="Times New Roman"/>
        </w:rPr>
      </w:pPr>
      <w:r>
        <w:rPr>
          <w:rFonts w:ascii="Times New Roman" w:hAnsi="Times New Roman"/>
        </w:rPr>
        <w:t>Антидотом при отравлении фосфорорганическими соединениями является:</w:t>
      </w:r>
    </w:p>
    <w:p>
      <w:pPr>
        <w:pStyle w:val="Normal"/>
        <w:spacing w:before="0" w:after="283"/>
        <w:ind w:hanging="10" w:left="-5" w:right="420"/>
        <w:rPr>
          <w:rFonts w:ascii="Times New Roman" w:hAnsi="Times New Roman"/>
        </w:rPr>
      </w:pPr>
      <w:r>
        <w:rPr>
          <w:rFonts w:ascii="Times New Roman" w:hAnsi="Times New Roman"/>
        </w:rPr>
        <w:t>А сернокислая магнезия</w:t>
      </w:r>
    </w:p>
    <w:p>
      <w:pPr>
        <w:pStyle w:val="Normal"/>
        <w:spacing w:before="0" w:after="283"/>
        <w:ind w:hanging="10" w:left="-5" w:right="420"/>
        <w:rPr>
          <w:rFonts w:ascii="Times New Roman" w:hAnsi="Times New Roman"/>
        </w:rPr>
      </w:pPr>
      <w:r>
        <w:rPr>
          <w:rFonts w:ascii="Times New Roman" w:hAnsi="Times New Roman"/>
        </w:rPr>
        <w:t>Б атропин</w:t>
      </w:r>
    </w:p>
    <w:p>
      <w:pPr>
        <w:pStyle w:val="Normal"/>
        <w:spacing w:before="0" w:after="283"/>
        <w:ind w:hanging="10" w:left="-5" w:right="420"/>
        <w:rPr>
          <w:rFonts w:ascii="Times New Roman" w:hAnsi="Times New Roman"/>
        </w:rPr>
      </w:pPr>
      <w:r>
        <w:rPr>
          <w:rFonts w:ascii="Times New Roman" w:hAnsi="Times New Roman"/>
        </w:rPr>
        <w:t>В розерин</w:t>
      </w:r>
    </w:p>
    <w:p>
      <w:pPr>
        <w:pStyle w:val="Normal"/>
        <w:spacing w:before="0" w:after="302"/>
        <w:ind w:hanging="10" w:left="-5" w:right="420"/>
        <w:rPr>
          <w:rFonts w:ascii="Times New Roman" w:hAnsi="Times New Roman"/>
        </w:rPr>
      </w:pPr>
      <w:r>
        <w:rPr>
          <w:rFonts w:ascii="Times New Roman" w:hAnsi="Times New Roman"/>
        </w:rPr>
        <w:t>Г тиосульфат натрия</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5.1.6 Типовые задания (оценочное средство - Тест) для оценки сформированности компетенции ОПК-5:</w:t>
      </w:r>
    </w:p>
    <w:p>
      <w:pPr>
        <w:pStyle w:val="Normal"/>
        <w:spacing w:lineRule="auto" w:line="511"/>
        <w:ind w:hanging="10" w:left="-5" w:right="420"/>
        <w:rPr>
          <w:rFonts w:ascii="Times New Roman" w:hAnsi="Times New Roman"/>
        </w:rPr>
      </w:pPr>
      <w:r>
        <w:rPr>
          <w:rFonts w:ascii="Times New Roman" w:hAnsi="Times New Roman"/>
        </w:rPr>
        <w:t>При оказании терапевтической медицинской помощи при подагре назначаются лекарственные препараты фармакотерапевтической группы</w:t>
      </w:r>
    </w:p>
    <w:p>
      <w:pPr>
        <w:pStyle w:val="Normal"/>
        <w:spacing w:before="0" w:after="283"/>
        <w:ind w:hanging="10" w:left="-5" w:right="420"/>
        <w:rPr>
          <w:rFonts w:ascii="Times New Roman" w:hAnsi="Times New Roman"/>
        </w:rPr>
      </w:pPr>
      <w:r>
        <w:rPr>
          <w:rFonts w:ascii="Times New Roman" w:hAnsi="Times New Roman"/>
        </w:rPr>
        <w:t>А. Антибиотики</w:t>
      </w:r>
    </w:p>
    <w:p>
      <w:pPr>
        <w:pStyle w:val="Normal"/>
        <w:spacing w:before="0" w:after="283"/>
        <w:ind w:hanging="10" w:left="-5" w:right="420"/>
        <w:rPr>
          <w:rFonts w:ascii="Times New Roman" w:hAnsi="Times New Roman"/>
        </w:rPr>
      </w:pPr>
      <w:r>
        <w:rPr>
          <w:rFonts w:ascii="Times New Roman" w:hAnsi="Times New Roman"/>
        </w:rPr>
        <w:t>Б. Мочегонные</w:t>
      </w:r>
    </w:p>
    <w:p>
      <w:pPr>
        <w:pStyle w:val="Normal"/>
        <w:spacing w:before="0" w:after="283"/>
        <w:ind w:hanging="10" w:left="-5" w:right="420"/>
        <w:rPr>
          <w:rFonts w:ascii="Times New Roman" w:hAnsi="Times New Roman"/>
        </w:rPr>
      </w:pPr>
      <w:r>
        <w:rPr>
          <w:rFonts w:ascii="Times New Roman" w:hAnsi="Times New Roman"/>
        </w:rPr>
        <w:t>В. Антигистаминные</w:t>
      </w:r>
    </w:p>
    <w:p>
      <w:pPr>
        <w:pStyle w:val="Normal"/>
        <w:spacing w:before="0" w:after="302"/>
        <w:ind w:hanging="10" w:left="-5" w:right="420"/>
        <w:rPr>
          <w:rFonts w:ascii="Times New Roman" w:hAnsi="Times New Roman"/>
        </w:rPr>
      </w:pPr>
      <w:r>
        <w:rPr>
          <w:rFonts w:ascii="Times New Roman" w:hAnsi="Times New Roman"/>
        </w:rPr>
        <w:t>Г. НПВС</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5.1.7 Типовые задания (оценочное средство - Тест) для оценки сформированности компетенции ОПК-6:</w:t>
      </w:r>
    </w:p>
    <w:p>
      <w:pPr>
        <w:pStyle w:val="Normal"/>
        <w:spacing w:lineRule="auto" w:line="511"/>
        <w:ind w:hanging="10" w:left="-5" w:right="955"/>
        <w:rPr>
          <w:rFonts w:ascii="Times New Roman" w:hAnsi="Times New Roman"/>
        </w:rPr>
      </w:pPr>
      <w:r>
        <w:rPr>
          <w:rFonts w:ascii="Times New Roman" w:hAnsi="Times New Roman"/>
        </w:rPr>
        <w:t>Для профилактики повторных инфарктов у пациентов, нуждающихся в медицинской реабилитации, следует назначить</w:t>
      </w:r>
    </w:p>
    <w:p>
      <w:pPr>
        <w:pStyle w:val="Normal"/>
        <w:spacing w:before="0" w:after="283"/>
        <w:ind w:hanging="10" w:left="-5" w:right="420"/>
        <w:rPr>
          <w:rFonts w:ascii="Times New Roman" w:hAnsi="Times New Roman"/>
        </w:rPr>
      </w:pPr>
      <w:r>
        <w:rPr>
          <w:rFonts w:ascii="Times New Roman" w:hAnsi="Times New Roman"/>
        </w:rPr>
        <w:t>А. Нитроглицерин</w:t>
      </w:r>
    </w:p>
    <w:p>
      <w:pPr>
        <w:pStyle w:val="Normal"/>
        <w:spacing w:before="0" w:after="283"/>
        <w:ind w:hanging="10" w:left="-5" w:right="420"/>
        <w:rPr>
          <w:rFonts w:ascii="Times New Roman" w:hAnsi="Times New Roman"/>
        </w:rPr>
      </w:pPr>
      <w:r>
        <w:rPr>
          <w:rFonts w:ascii="Times New Roman" w:hAnsi="Times New Roman"/>
        </w:rPr>
        <w:t>Б. Тромбо асс</w:t>
      </w:r>
    </w:p>
    <w:p>
      <w:pPr>
        <w:pStyle w:val="Normal"/>
        <w:spacing w:before="0" w:after="283"/>
        <w:ind w:hanging="10" w:left="-5" w:right="420"/>
        <w:rPr>
          <w:rFonts w:ascii="Times New Roman" w:hAnsi="Times New Roman"/>
        </w:rPr>
      </w:pPr>
      <w:r>
        <w:rPr>
          <w:rFonts w:ascii="Times New Roman" w:hAnsi="Times New Roman"/>
        </w:rPr>
        <w:t>В. Парацетамол</w:t>
      </w:r>
    </w:p>
    <w:p>
      <w:pPr>
        <w:pStyle w:val="Normal"/>
        <w:ind w:hanging="10" w:left="-5" w:right="420"/>
        <w:rPr>
          <w:rFonts w:ascii="Times New Roman" w:hAnsi="Times New Roman"/>
        </w:rPr>
      </w:pPr>
      <w:r>
        <w:rPr>
          <w:rFonts w:ascii="Times New Roman" w:hAnsi="Times New Roman"/>
        </w:rPr>
        <w:t>Г. Аскорбиновую кислоту</w:t>
      </w:r>
    </w:p>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5.1.8 Типовые задания (оценочное средство - Тест) для оценки сформированности компетенции ПК-1:</w:t>
      </w:r>
    </w:p>
    <w:p>
      <w:pPr>
        <w:pStyle w:val="Normal"/>
        <w:spacing w:lineRule="auto" w:line="511"/>
        <w:ind w:hanging="10" w:left="-5" w:right="733"/>
        <w:rPr>
          <w:rFonts w:ascii="Times New Roman" w:hAnsi="Times New Roman"/>
        </w:rPr>
      </w:pPr>
      <w:r>
        <w:rPr>
          <w:rFonts w:ascii="Times New Roman" w:hAnsi="Times New Roman"/>
        </w:rPr>
        <w:t>Анализируя перечень, представленных лекарственных средств отметьте антигипертензивные средства (ПК-6):</w:t>
      </w:r>
    </w:p>
    <w:p>
      <w:pPr>
        <w:pStyle w:val="Normal"/>
        <w:spacing w:before="0" w:after="283"/>
        <w:ind w:hanging="10" w:left="-5" w:right="420"/>
        <w:rPr>
          <w:rFonts w:ascii="Times New Roman" w:hAnsi="Times New Roman"/>
        </w:rPr>
      </w:pPr>
      <w:r>
        <w:rPr>
          <w:rFonts w:ascii="Times New Roman" w:hAnsi="Times New Roman"/>
        </w:rPr>
        <w:t>А. Левофлоксацин</w:t>
      </w:r>
    </w:p>
    <w:p>
      <w:pPr>
        <w:pStyle w:val="Normal"/>
        <w:spacing w:before="0" w:after="283"/>
        <w:ind w:hanging="10" w:left="-5" w:right="420"/>
        <w:rPr>
          <w:rFonts w:ascii="Times New Roman" w:hAnsi="Times New Roman"/>
        </w:rPr>
      </w:pPr>
      <w:r>
        <w:rPr>
          <w:rFonts w:ascii="Times New Roman" w:hAnsi="Times New Roman"/>
        </w:rPr>
        <w:t>Б. Эналаприл</w:t>
      </w:r>
    </w:p>
    <w:p>
      <w:pPr>
        <w:pStyle w:val="Normal"/>
        <w:spacing w:before="0" w:after="283"/>
        <w:ind w:hanging="10" w:left="-5" w:right="420"/>
        <w:rPr>
          <w:rFonts w:ascii="Times New Roman" w:hAnsi="Times New Roman"/>
        </w:rPr>
      </w:pPr>
      <w:r>
        <w:rPr>
          <w:rFonts w:ascii="Times New Roman" w:hAnsi="Times New Roman"/>
        </w:rPr>
        <w:t>В. Фолиевая кислота</w:t>
      </w:r>
    </w:p>
    <w:p>
      <w:pPr>
        <w:pStyle w:val="Normal"/>
        <w:spacing w:before="0" w:after="302"/>
        <w:ind w:hanging="10" w:left="-5" w:right="420"/>
        <w:rPr>
          <w:rFonts w:ascii="Times New Roman" w:hAnsi="Times New Roman"/>
        </w:rPr>
      </w:pPr>
      <w:r>
        <w:rPr>
          <w:rFonts w:ascii="Times New Roman" w:hAnsi="Times New Roman"/>
        </w:rPr>
        <w:t>Г. Арбидол</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Тест)</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46"/>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spacing w:before="0" w:after="476"/>
        <w:ind w:hanging="10" w:left="-5"/>
        <w:jc w:val="both"/>
        <w:rPr>
          <w:rFonts w:ascii="Times New Roman" w:hAnsi="Times New Roman"/>
        </w:rPr>
      </w:pPr>
      <w:r>
        <w:rPr>
          <w:rFonts w:ascii="Times New Roman" w:hAnsi="Times New Roman"/>
          <w:b/>
          <w:sz w:val="24"/>
        </w:rPr>
        <w:t>5.2.</w:t>
      </w:r>
      <w:r>
        <w:rPr>
          <w:rFonts w:ascii="Times New Roman" w:hAnsi="Times New Roman"/>
          <w:sz w:val="24"/>
        </w:rPr>
        <w:t xml:space="preserve"> </w:t>
      </w:r>
      <w:r>
        <w:rPr>
          <w:rFonts w:ascii="Times New Roman" w:hAnsi="Times New Roman"/>
          <w:b/>
          <w:sz w:val="24"/>
        </w:rPr>
        <w:t>Описание шкал оценивания результатов обучения по дисциплине при промежуточной аттестации</w:t>
      </w:r>
    </w:p>
    <w:p>
      <w:pPr>
        <w:pStyle w:val="Normal"/>
        <w:spacing w:before="0" w:after="47"/>
        <w:ind w:hanging="10" w:left="2400"/>
        <w:jc w:val="both"/>
        <w:rPr>
          <w:rFonts w:ascii="Times New Roman" w:hAnsi="Times New Roman"/>
        </w:rPr>
      </w:pPr>
      <w:r>
        <w:rPr>
          <w:rFonts w:ascii="Times New Roman" w:hAnsi="Times New Roman"/>
          <w:b/>
          <w:sz w:val="24"/>
        </w:rPr>
        <w:t>Шкала оценивания сформированности компетенций</w:t>
      </w:r>
    </w:p>
    <w:tbl>
      <w:tblPr>
        <w:tblStyle w:val="TableGrid"/>
        <w:tblW w:w="9780" w:type="dxa"/>
        <w:jc w:val="left"/>
        <w:tblInd w:w="0" w:type="dxa"/>
        <w:tblLayout w:type="fixed"/>
        <w:tblCellMar>
          <w:top w:w="12" w:type="dxa"/>
          <w:left w:w="109" w:type="dxa"/>
          <w:bottom w:w="0" w:type="dxa"/>
          <w:right w:w="108" w:type="dxa"/>
        </w:tblCellMar>
        <w:tblLook w:firstRow="1" w:noVBand="1" w:lastRow="0" w:firstColumn="1" w:lastColumn="0" w:noHBand="0" w:val="04a0"/>
      </w:tblPr>
      <w:tblGrid>
        <w:gridCol w:w="1782"/>
        <w:gridCol w:w="1986"/>
        <w:gridCol w:w="1906"/>
        <w:gridCol w:w="1906"/>
        <w:gridCol w:w="2200"/>
      </w:tblGrid>
      <w:tr>
        <w:trPr>
          <w:trHeight w:val="1304" w:hRule="atLeast"/>
        </w:trPr>
        <w:tc>
          <w:tcPr>
            <w:tcW w:w="17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Уровень сформированности компетенций (индикатора достижения компетенций)</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неудовлетворительн 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52"/>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удовлетворительно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хорошо</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отлично</w:t>
            </w:r>
          </w:p>
        </w:tc>
      </w:tr>
      <w:tr>
        <w:trPr>
          <w:trHeight w:val="300" w:hRule="atLeast"/>
        </w:trPr>
        <w:tc>
          <w:tcPr>
            <w:tcW w:w="178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 зачтено</w:t>
            </w:r>
          </w:p>
        </w:tc>
        <w:tc>
          <w:tcPr>
            <w:tcW w:w="6012"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2"/>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зачтено</w:t>
            </w:r>
          </w:p>
        </w:tc>
      </w:tr>
      <w:tr>
        <w:trPr>
          <w:trHeight w:val="1460" w:hRule="atLeast"/>
        </w:trPr>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Знания</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ниже минимальных требований.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Минимально допустимый уровень знаний. Допущено много негрубых ошибок</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3"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в объеме, соответствующем программе подготовки.</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Допущено несколько негрубых ошибок</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в объеме, соответствующем программе подготовки, без ошибок</w:t>
            </w:r>
          </w:p>
        </w:tc>
      </w:tr>
      <w:tr>
        <w:trPr>
          <w:trHeight w:val="1872" w:hRule="atLeast"/>
        </w:trPr>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Умения</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При решении стандартных задач не продемонстрированы основные умения.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основные умения. Решены типовые задачи с негрубыми ошибками. Выполнены все задания, но не в полном объеме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trPr>
          <w:trHeight w:val="424" w:hRule="atLeast"/>
        </w:trPr>
        <w:tc>
          <w:tcPr>
            <w:tcW w:w="178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Навыки</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При решении стандартных задач не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Имеется минимальный набор</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базовые навыки при</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навыки при решении</w:t>
            </w:r>
          </w:p>
        </w:tc>
      </w:tr>
      <w:tr>
        <w:trPr>
          <w:trHeight w:val="838" w:hRule="atLeast"/>
        </w:trPr>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базовые навыки.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навыков для решения стандартных задач с некоторыми недочетами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решении</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стандартных задач с некоторыми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нестандартных задач без ошибок и недочетов</w:t>
            </w:r>
          </w:p>
        </w:tc>
      </w:tr>
    </w:tbl>
    <w:p>
      <w:pPr>
        <w:pStyle w:val="Normal"/>
        <w:spacing w:before="0" w:after="0"/>
        <w:ind w:hanging="10" w:left="2419"/>
        <w:jc w:val="both"/>
        <w:rPr>
          <w:rFonts w:ascii="Times New Roman" w:hAnsi="Times New Roman"/>
        </w:rPr>
      </w:pPr>
      <w:r>
        <w:rPr>
          <w:rFonts w:ascii="Times New Roman" w:hAnsi="Times New Roman"/>
          <w:b/>
          <w:sz w:val="24"/>
        </w:rPr>
        <w:t>Шкала оценивания при промежуточной аттестации</w:t>
      </w:r>
    </w:p>
    <w:tbl>
      <w:tblPr>
        <w:tblStyle w:val="TableGrid"/>
        <w:tblW w:w="9780" w:type="dxa"/>
        <w:jc w:val="left"/>
        <w:tblInd w:w="0" w:type="dxa"/>
        <w:tblLayout w:type="fixed"/>
        <w:tblCellMar>
          <w:top w:w="17" w:type="dxa"/>
          <w:left w:w="10" w:type="dxa"/>
          <w:bottom w:w="0" w:type="dxa"/>
          <w:right w:w="103" w:type="dxa"/>
        </w:tblCellMar>
        <w:tblLook w:firstRow="1" w:noVBand="1" w:lastRow="0" w:firstColumn="1" w:lastColumn="0" w:noHBand="0" w:val="04a0"/>
      </w:tblPr>
      <w:tblGrid>
        <w:gridCol w:w="988"/>
        <w:gridCol w:w="1560"/>
        <w:gridCol w:w="7232"/>
      </w:tblGrid>
      <w:tr>
        <w:trPr>
          <w:trHeight w:val="330" w:hRule="atLeast"/>
        </w:trPr>
        <w:tc>
          <w:tcPr>
            <w:tcW w:w="988" w:type="dxa"/>
            <w:tcBorders>
              <w:top w:val="single" w:sz="8" w:space="0" w:color="000000"/>
              <w:left w:val="single" w:sz="8" w:space="0" w:color="000000"/>
              <w:bottom w:val="single" w:sz="8"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24"/>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Оценка</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114"/>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Уровень подготовки</w:t>
            </w:r>
          </w:p>
        </w:tc>
      </w:tr>
      <w:tr>
        <w:trPr>
          <w:trHeight w:val="640" w:hRule="atLeast"/>
        </w:trPr>
        <w:tc>
          <w:tcPr>
            <w:tcW w:w="988"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09"/>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зачтено</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отлично</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trPr>
          <w:trHeight w:val="642" w:hRule="atLeast"/>
        </w:trPr>
        <w:tc>
          <w:tcPr>
            <w:tcW w:w="988" w:type="dxa"/>
            <w:vMerge w:val="continue"/>
            <w:tcBorders>
              <w:left w:val="single" w:sz="8" w:space="0" w:color="000000"/>
              <w:right w:val="single" w:sz="8"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хорошо</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trPr>
          <w:trHeight w:val="640" w:hRule="atLeast"/>
        </w:trPr>
        <w:tc>
          <w:tcPr>
            <w:tcW w:w="988" w:type="dxa"/>
            <w:vMerge w:val="continue"/>
            <w:tcBorders>
              <w:left w:val="single" w:sz="8" w:space="0" w:color="000000"/>
              <w:bottom w:val="single" w:sz="8" w:space="0" w:color="000000"/>
              <w:right w:val="single" w:sz="8"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удовлетворител ьно</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trPr>
          <w:trHeight w:val="433" w:hRule="atLeast"/>
        </w:trPr>
        <w:tc>
          <w:tcPr>
            <w:tcW w:w="988"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hanging="0" w:left="109"/>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 зачтено</w:t>
            </w:r>
          </w:p>
        </w:tc>
        <w:tc>
          <w:tcPr>
            <w:tcW w:w="1560"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неудовлетворит ельно</w:t>
            </w:r>
          </w:p>
        </w:tc>
        <w:tc>
          <w:tcPr>
            <w:tcW w:w="7232"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09"/>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Хотя бы одна компетенция сформирована на уровне «неудовлетворительно».</w:t>
            </w:r>
          </w:p>
        </w:tc>
      </w:tr>
    </w:tbl>
    <w:p>
      <w:pPr>
        <w:pStyle w:val="Normal"/>
        <w:spacing w:before="0" w:after="121"/>
        <w:ind w:hanging="10" w:left="-5" w:right="425"/>
        <w:jc w:val="both"/>
        <w:rPr>
          <w:rFonts w:ascii="Times New Roman" w:hAnsi="Times New Roman"/>
        </w:rPr>
      </w:pPr>
      <w:r>
        <w:rPr>
          <w:rFonts w:ascii="Times New Roman" w:hAnsi="Times New Roman"/>
          <w:b/>
          <w:sz w:val="24"/>
        </w:rPr>
        <w:t>5.3 Типовые контрольные задания или иные материалы, необходимые для оценки результатов обучения на промежуточной аттестации с указанием критериев их оценивания:</w:t>
      </w:r>
    </w:p>
    <w:p>
      <w:pPr>
        <w:pStyle w:val="Normal"/>
        <w:widowControl/>
        <w:tabs>
          <w:tab w:val="clear" w:pos="720"/>
          <w:tab w:val="left" w:pos="9636" w:leader="none"/>
        </w:tabs>
        <w:bidi w:val="0"/>
        <w:spacing w:lineRule="auto" w:line="259" w:before="0" w:after="121"/>
        <w:ind w:hanging="0" w:left="0" w:right="680"/>
        <w:jc w:val="both"/>
        <w:rPr>
          <w:rFonts w:ascii="Times New Roman" w:hAnsi="Times New Roman"/>
        </w:rPr>
      </w:pPr>
      <w:r>
        <w:rPr>
          <w:rFonts w:ascii="Times New Roman" w:hAnsi="Times New Roman"/>
          <w:b/>
          <w:sz w:val="24"/>
        </w:rPr>
        <w:t>5.3.1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ОПК-10</w:t>
      </w:r>
    </w:p>
    <w:p>
      <w:pPr>
        <w:pStyle w:val="Normal"/>
        <w:spacing w:before="0" w:after="302"/>
        <w:ind w:hanging="10" w:left="-5" w:right="420"/>
        <w:rPr>
          <w:rFonts w:ascii="Times New Roman" w:hAnsi="Times New Roman"/>
        </w:rPr>
      </w:pPr>
      <w:r>
        <w:rPr>
          <w:rFonts w:ascii="Times New Roman" w:hAnsi="Times New Roman"/>
        </w:rPr>
        <w:t>Неотложная помощь при отравлении этиленгликолем</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5.3.2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ОПК-5</w:t>
      </w:r>
    </w:p>
    <w:p>
      <w:pPr>
        <w:pStyle w:val="Normal"/>
        <w:spacing w:before="0" w:after="302"/>
        <w:ind w:hanging="10" w:left="-5" w:right="420"/>
        <w:rPr>
          <w:rFonts w:ascii="Times New Roman" w:hAnsi="Times New Roman"/>
        </w:rPr>
      </w:pPr>
      <w:r>
        <w:rPr>
          <w:rFonts w:ascii="Times New Roman" w:hAnsi="Times New Roman"/>
        </w:rPr>
        <w:t>Подходы к фармакотерапии артериальной гипертензии.</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5.3.3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ОПК-6</w:t>
      </w:r>
    </w:p>
    <w:p>
      <w:pPr>
        <w:pStyle w:val="Normal"/>
        <w:spacing w:lineRule="auto" w:line="511"/>
        <w:ind w:hanging="10" w:left="-5" w:right="4355"/>
        <w:rPr>
          <w:rFonts w:ascii="Times New Roman" w:hAnsi="Times New Roman"/>
        </w:rPr>
      </w:pPr>
      <w:r>
        <w:rPr>
          <w:rFonts w:ascii="Times New Roman" w:hAnsi="Times New Roman"/>
        </w:rPr>
        <w:t>Роль лекарственных средств, влияющих на тканевой обмен, при оказании терапевтической медицинской и реабилитационной помощи.</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5.3.4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ПК-1</w:t>
      </w:r>
    </w:p>
    <w:p>
      <w:pPr>
        <w:pStyle w:val="Normal"/>
        <w:spacing w:lineRule="auto" w:line="511"/>
        <w:ind w:hanging="10" w:left="-5" w:right="4561"/>
        <w:rPr>
          <w:rFonts w:ascii="Times New Roman" w:hAnsi="Times New Roman"/>
        </w:rPr>
      </w:pPr>
      <w:r>
        <w:rPr>
          <w:rFonts w:ascii="Times New Roman" w:hAnsi="Times New Roman"/>
        </w:rPr>
        <w:t>Лекарственные средства, применяемые в кардиологической практике, при оказании терапевтической и реабилитационной помощи. Санаторно-курортное лечение кардиологических больных.</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Контрольные вопросы)</w:t>
      </w:r>
    </w:p>
    <w:tbl>
      <w:tblPr>
        <w:tblStyle w:val="TableGrid"/>
        <w:tblW w:w="9750" w:type="dxa"/>
        <w:jc w:val="left"/>
        <w:tblInd w:w="0" w:type="dxa"/>
        <w:tblLayout w:type="fixed"/>
        <w:tblCellMar>
          <w:top w:w="10" w:type="dxa"/>
          <w:left w:w="31" w:type="dxa"/>
          <w:bottom w:w="0" w:type="dxa"/>
          <w:right w:w="60" w:type="dxa"/>
        </w:tblCellMar>
        <w:tblLook w:firstRow="1" w:noVBand="1" w:lastRow="0" w:firstColumn="1" w:lastColumn="0" w:noHBand="0" w:val="04a0"/>
      </w:tblPr>
      <w:tblGrid>
        <w:gridCol w:w="991"/>
        <w:gridCol w:w="8758"/>
      </w:tblGrid>
      <w:tr>
        <w:trPr>
          <w:trHeight w:val="636" w:hRule="atLeast"/>
        </w:trPr>
        <w:tc>
          <w:tcPr>
            <w:tcW w:w="99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19"/>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5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33"/>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898" w:hRule="atLeast"/>
        </w:trPr>
        <w:tc>
          <w:tcPr>
            <w:tcW w:w="99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5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Высокий уровень подготовки с незначительными недочетами. Ординатор дал полный и развернутый ответ на все теоретические вопросы</w:t>
            </w:r>
          </w:p>
        </w:tc>
      </w:tr>
      <w:tr>
        <w:trPr>
          <w:trHeight w:val="896" w:hRule="atLeast"/>
        </w:trPr>
        <w:tc>
          <w:tcPr>
            <w:tcW w:w="99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5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Подготовка недостаточная и требует дополнительного изучения материала. Ординатор дает ошибочные ответы на теоретические вопросы</w:t>
            </w:r>
          </w:p>
        </w:tc>
      </w:tr>
    </w:tbl>
    <w:p>
      <w:pPr>
        <w:pStyle w:val="Normal"/>
        <w:spacing w:before="0" w:after="200"/>
        <w:ind w:hanging="10" w:left="-5"/>
        <w:jc w:val="both"/>
        <w:rPr>
          <w:rFonts w:ascii="Times New Roman" w:hAnsi="Times New Roman"/>
        </w:rPr>
      </w:pPr>
      <w:r>
        <w:rPr>
          <w:rFonts w:ascii="Times New Roman" w:hAnsi="Times New Roman"/>
          <w:b/>
          <w:sz w:val="24"/>
        </w:rPr>
        <w:t xml:space="preserve">6. Учебно-методическое и информационное обеспечение дисциплины (модуля) </w:t>
      </w:r>
    </w:p>
    <w:p>
      <w:pPr>
        <w:pStyle w:val="Normal"/>
        <w:spacing w:lineRule="auto" w:line="252" w:before="0" w:after="323"/>
        <w:ind w:hanging="10" w:left="-5" w:right="17"/>
        <w:jc w:val="both"/>
        <w:rPr>
          <w:rFonts w:ascii="Times New Roman" w:hAnsi="Times New Roman"/>
        </w:rPr>
      </w:pPr>
      <w:r>
        <w:rPr>
          <w:rFonts w:ascii="Times New Roman" w:hAnsi="Times New Roman"/>
          <w:sz w:val="24"/>
        </w:rPr>
        <w:t>Основная литература:</w:t>
      </w:r>
    </w:p>
    <w:p>
      <w:pPr>
        <w:pStyle w:val="Normal"/>
        <w:widowControl/>
        <w:bidi w:val="0"/>
        <w:spacing w:lineRule="auto" w:line="252" w:before="0" w:after="3"/>
        <w:ind w:hanging="0" w:left="0" w:right="624"/>
        <w:jc w:val="both"/>
        <w:rPr>
          <w:rFonts w:ascii="Times New Roman" w:hAnsi="Times New Roman"/>
        </w:rPr>
      </w:pPr>
      <w:r>
        <w:rPr>
          <w:rFonts w:ascii="Times New Roman" w:hAnsi="Times New Roman"/>
          <w:sz w:val="24"/>
        </w:rPr>
        <w:t>1. Кукес В.Г. Клиническая фармакология : учебник / Кукес В.Г.;  Сычев Д.А. - Москва : ГЭОТАРМедиа, 2022. - 1024 c. - ISBN ISBN 978-5-9704-6807-4., https://e-lib.unn.ru/MegaPro/UserEntry?</w:t>
      </w:r>
    </w:p>
    <w:p>
      <w:pPr>
        <w:pStyle w:val="Normal"/>
        <w:spacing w:lineRule="auto" w:line="252" w:before="0" w:after="292"/>
        <w:ind w:hanging="10" w:left="-5" w:right="17"/>
        <w:jc w:val="both"/>
        <w:rPr>
          <w:rFonts w:ascii="Times New Roman" w:hAnsi="Times New Roman"/>
        </w:rPr>
      </w:pPr>
      <w:r>
        <w:rPr>
          <w:rFonts w:ascii="Times New Roman" w:hAnsi="Times New Roman"/>
          <w:sz w:val="24"/>
        </w:rPr>
        <w:t>Action=FindDocs&amp;ids=807894&amp;idb=0.</w:t>
      </w:r>
    </w:p>
    <w:p>
      <w:pPr>
        <w:pStyle w:val="Normal"/>
        <w:spacing w:lineRule="auto" w:line="252" w:before="0" w:after="323"/>
        <w:ind w:hanging="10" w:left="-5" w:right="17"/>
        <w:jc w:val="both"/>
        <w:rPr>
          <w:rFonts w:ascii="Times New Roman" w:hAnsi="Times New Roman"/>
        </w:rPr>
      </w:pPr>
      <w:r>
        <w:rPr>
          <w:rFonts w:ascii="Times New Roman" w:hAnsi="Times New Roman"/>
          <w:sz w:val="24"/>
        </w:rPr>
        <w:t>Дополнительная литература:</w:t>
      </w:r>
    </w:p>
    <w:p>
      <w:pPr>
        <w:pStyle w:val="Normal"/>
        <w:spacing w:lineRule="auto" w:line="259" w:before="0" w:after="286"/>
        <w:ind w:hanging="0" w:left="0"/>
        <w:rPr>
          <w:rFonts w:ascii="Times New Roman" w:hAnsi="Times New Roman"/>
        </w:rPr>
      </w:pPr>
      <w:r>
        <w:rPr>
          <w:rFonts w:ascii="Times New Roman" w:hAnsi="Times New Roman"/>
          <w:sz w:val="24"/>
        </w:rPr>
        <w:t>1. Аляутдин Р.Н. Фармакология. Ultra light : учебное пособие / Аляутдин Р.Н. - Москва : ГЭОТАРМедиа, 2023. - 529 c. - ISBN 978-5-9704-7197-5., https://e-lib.unn.ru/MegaPro/UserEntry? Action=FindDocs&amp;ids=870119&amp;idb=0.</w:t>
      </w:r>
    </w:p>
    <w:p>
      <w:pPr>
        <w:pStyle w:val="Normal"/>
        <w:spacing w:lineRule="auto" w:line="252" w:before="0" w:after="323"/>
        <w:ind w:hanging="10" w:left="-5" w:right="17"/>
        <w:jc w:val="both"/>
        <w:rPr>
          <w:rFonts w:ascii="Times New Roman" w:hAnsi="Times New Roman"/>
        </w:rPr>
      </w:pPr>
      <w:r>
        <w:rPr>
          <w:rFonts w:ascii="Times New Roman" w:hAnsi="Times New Roman"/>
          <w:sz w:val="24"/>
        </w:rPr>
        <w:t>Программное обеспечение и Интернет-ресурсы (в соответствии с содержанием дисциплины):</w:t>
      </w:r>
    </w:p>
    <w:p>
      <w:pPr>
        <w:pStyle w:val="Normal"/>
        <w:spacing w:lineRule="auto" w:line="252"/>
        <w:ind w:hanging="10" w:left="-5" w:right="17"/>
        <w:jc w:val="both"/>
        <w:rPr>
          <w:rFonts w:ascii="Times New Roman" w:hAnsi="Times New Roman"/>
        </w:rPr>
      </w:pPr>
      <w:r>
        <w:rPr>
          <w:rFonts w:ascii="Times New Roman" w:hAnsi="Times New Roman"/>
          <w:sz w:val="24"/>
        </w:rPr>
        <w:t>ЭБС «Юрайт». Режим доступа: http://biblio-online.ru.</w:t>
      </w:r>
    </w:p>
    <w:p>
      <w:pPr>
        <w:pStyle w:val="Normal"/>
        <w:spacing w:lineRule="auto" w:line="252"/>
        <w:ind w:hanging="10" w:left="-5" w:right="17"/>
        <w:jc w:val="both"/>
        <w:rPr>
          <w:rFonts w:ascii="Times New Roman" w:hAnsi="Times New Roman"/>
        </w:rPr>
      </w:pPr>
      <w:r>
        <w:rPr>
          <w:rFonts w:ascii="Times New Roman" w:hAnsi="Times New Roman"/>
          <w:sz w:val="24"/>
        </w:rPr>
        <w:t>ЭБС «Консультант студента». Режим доступа: http://www.studentlibrary.ru.</w:t>
      </w:r>
    </w:p>
    <w:p>
      <w:pPr>
        <w:pStyle w:val="Normal"/>
        <w:spacing w:lineRule="auto" w:line="252"/>
        <w:ind w:hanging="10" w:left="-5" w:right="17"/>
        <w:jc w:val="both"/>
        <w:rPr>
          <w:rFonts w:ascii="Times New Roman" w:hAnsi="Times New Roman"/>
        </w:rPr>
      </w:pPr>
      <w:r>
        <w:rPr>
          <w:rFonts w:ascii="Times New Roman" w:hAnsi="Times New Roman"/>
          <w:sz w:val="24"/>
        </w:rPr>
        <w:t>ЭБС «Лань». Режим доступа: http://e.lanbook.com/.</w:t>
      </w:r>
    </w:p>
    <w:p>
      <w:pPr>
        <w:pStyle w:val="Normal"/>
        <w:spacing w:lineRule="auto" w:line="252"/>
        <w:ind w:hanging="10" w:left="-5" w:right="17"/>
        <w:jc w:val="both"/>
        <w:rPr>
          <w:rFonts w:ascii="Times New Roman" w:hAnsi="Times New Roman"/>
        </w:rPr>
      </w:pPr>
      <w:r>
        <w:rPr>
          <w:rFonts w:ascii="Times New Roman" w:hAnsi="Times New Roman"/>
          <w:sz w:val="24"/>
        </w:rPr>
        <w:t>ЭБС «Znanium.com». Режим доступа: http://www.znanium.com.</w:t>
      </w:r>
    </w:p>
    <w:p>
      <w:pPr>
        <w:pStyle w:val="Normal"/>
        <w:spacing w:lineRule="auto" w:line="252"/>
        <w:ind w:hanging="10" w:left="-5" w:right="17"/>
        <w:jc w:val="both"/>
        <w:rPr>
          <w:rFonts w:ascii="Times New Roman" w:hAnsi="Times New Roman"/>
        </w:rPr>
      </w:pPr>
      <w:r>
        <w:rPr>
          <w:rFonts w:ascii="Times New Roman" w:hAnsi="Times New Roman"/>
          <w:sz w:val="24"/>
        </w:rPr>
        <w:t>ЭБС «Консультант врача» Режим доступа: www.rosmedlib.ru</w:t>
      </w:r>
    </w:p>
    <w:p>
      <w:pPr>
        <w:pStyle w:val="Normal"/>
        <w:spacing w:lineRule="auto" w:line="252" w:before="0" w:after="323"/>
        <w:ind w:hanging="10" w:left="-5" w:right="1035"/>
        <w:jc w:val="both"/>
        <w:rPr>
          <w:rFonts w:ascii="Times New Roman" w:hAnsi="Times New Roman"/>
        </w:rPr>
      </w:pPr>
      <w:r>
        <w:rPr>
          <w:rFonts w:ascii="Times New Roman" w:hAnsi="Times New Roman"/>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jc w:val="both"/>
        <w:rPr>
          <w:rFonts w:ascii="Times New Roman" w:hAnsi="Times New Roman"/>
        </w:rPr>
      </w:pPr>
      <w:r>
        <w:rPr>
          <w:rFonts w:ascii="Times New Roman" w:hAnsi="Times New Roman"/>
          <w:b/>
          <w:sz w:val="24"/>
        </w:rPr>
        <w:t xml:space="preserve">7. Материально-техническое обеспечение дисциплины (модуля) </w:t>
      </w:r>
    </w:p>
    <w:p>
      <w:pPr>
        <w:pStyle w:val="Normal"/>
        <w:spacing w:lineRule="auto" w:line="223" w:before="0" w:after="276"/>
        <w:ind w:hanging="0" w:left="0" w:right="426"/>
        <w:jc w:val="both"/>
        <w:rPr>
          <w:rFonts w:ascii="Times New Roman" w:hAnsi="Times New Roman"/>
        </w:rPr>
      </w:pPr>
      <w:r>
        <w:rPr>
          <w:rFonts w:ascii="Times New Roman" w:hAnsi="Times New Roman"/>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rFonts w:ascii="Times New Roman" w:hAnsi="Times New Roman"/>
          <w:sz w:val="24"/>
        </w:rPr>
        <w:t>.</w:t>
      </w:r>
    </w:p>
    <w:p>
      <w:pPr>
        <w:pStyle w:val="Normal"/>
        <w:spacing w:lineRule="auto" w:line="252" w:before="0" w:after="490"/>
        <w:ind w:hanging="10" w:left="-5" w:right="431"/>
        <w:jc w:val="both"/>
        <w:rPr>
          <w:rFonts w:ascii="Times New Roman" w:hAnsi="Times New Roman"/>
        </w:rPr>
      </w:pPr>
      <w:r>
        <w:rPr>
          <w:rFonts w:ascii="Times New Roman" w:hAnsi="Times New Roman"/>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lineRule="auto" w:line="252"/>
        <w:ind w:hanging="10" w:left="-5" w:right="17"/>
        <w:jc w:val="both"/>
        <w:rPr>
          <w:rFonts w:ascii="Times New Roman" w:hAnsi="Times New Roman"/>
        </w:rPr>
      </w:pPr>
      <w:r>
        <w:rPr>
          <w:rFonts w:ascii="Times New Roman" w:hAnsi="Times New Roman"/>
          <w:sz w:val="24"/>
        </w:rPr>
        <w:t>Программа составлена в соответствии с требованиями ФГОС ВО по направлению подготовки/специальности 31.08.49 – Терапия.</w:t>
      </w:r>
    </w:p>
    <w:p>
      <w:pPr>
        <w:pStyle w:val="Normal"/>
        <w:spacing w:lineRule="auto" w:line="252"/>
        <w:ind w:hanging="10" w:left="-5" w:right="17"/>
        <w:jc w:val="both"/>
        <w:rPr>
          <w:sz w:val="24"/>
        </w:rPr>
      </w:pPr>
      <w:r>
        <w:rPr>
          <w:sz w:val="24"/>
        </w:rPr>
      </w:r>
    </w:p>
    <w:p>
      <w:pPr>
        <w:pStyle w:val="Normal"/>
        <w:spacing w:lineRule="auto" w:line="252" w:before="0" w:after="206"/>
        <w:ind w:hanging="10" w:left="-5" w:right="17"/>
        <w:jc w:val="both"/>
        <w:rPr>
          <w:rFonts w:ascii="Times New Roman" w:hAnsi="Times New Roman"/>
        </w:rPr>
      </w:pPr>
      <w:r>
        <w:rPr>
          <w:rFonts w:ascii="Times New Roman" w:hAnsi="Times New Roman"/>
          <w:sz w:val="24"/>
        </w:rPr>
        <w:t xml:space="preserve">Автор(ы): </w:t>
      </w:r>
      <w:r>
        <w:rPr>
          <w:rFonts w:ascii="Times New Roman" w:hAnsi="Times New Roman"/>
          <w:sz w:val="24"/>
          <w:lang w:val="ru-RU"/>
        </w:rPr>
        <w:t>Юдина Ирина Юрьевна</w:t>
      </w:r>
      <w:r>
        <w:rPr>
          <w:rFonts w:ascii="Times New Roman" w:hAnsi="Times New Roman"/>
          <w:sz w:val="24"/>
        </w:rPr>
        <w:t>, кандидат медицинских наук.</w:t>
      </w:r>
    </w:p>
    <w:p>
      <w:pPr>
        <w:pStyle w:val="Normal"/>
        <w:spacing w:lineRule="auto" w:line="252" w:before="0" w:after="206"/>
        <w:ind w:hanging="10" w:left="-5" w:right="17"/>
        <w:jc w:val="both"/>
        <w:rPr>
          <w:sz w:val="24"/>
        </w:rPr>
      </w:pPr>
      <w:r>
        <w:rPr>
          <w:sz w:val="24"/>
        </w:rPr>
      </w:r>
    </w:p>
    <w:p>
      <w:pPr>
        <w:pStyle w:val="Normal"/>
        <w:spacing w:lineRule="auto" w:line="252" w:before="0" w:after="3"/>
        <w:ind w:hanging="10" w:left="-5" w:right="17"/>
        <w:jc w:val="both"/>
        <w:rPr>
          <w:rFonts w:ascii="Times New Roman" w:hAnsi="Times New Roman"/>
        </w:rPr>
      </w:pPr>
      <w:r>
        <w:rPr>
          <w:rFonts w:ascii="Times New Roman" w:hAnsi="Times New Roman"/>
          <w:sz w:val="24"/>
        </w:rPr>
        <w:t xml:space="preserve">Программа одобрена на заседании </w:t>
      </w:r>
      <w:r>
        <w:rPr>
          <w:rFonts w:ascii="Times New Roman" w:hAnsi="Times New Roman"/>
          <w:sz w:val="24"/>
          <w:lang w:val="ru-RU"/>
        </w:rPr>
        <w:t>ученого совета</w:t>
      </w:r>
      <w:r>
        <w:rPr>
          <w:rFonts w:ascii="Times New Roman" w:hAnsi="Times New Roman"/>
          <w:sz w:val="24"/>
        </w:rPr>
        <w:t xml:space="preserve"> от </w:t>
      </w:r>
      <w:r>
        <w:rPr>
          <w:rFonts w:ascii="Times New Roman" w:hAnsi="Times New Roman"/>
          <w:sz w:val="24"/>
          <w:lang w:val="ru-RU"/>
        </w:rPr>
        <w:t>27.03.2025г</w:t>
      </w:r>
      <w:r>
        <w:rPr>
          <w:rFonts w:ascii="Times New Roman" w:hAnsi="Times New Roman"/>
          <w:sz w:val="24"/>
        </w:rPr>
        <w:t xml:space="preserve">., протокол № </w:t>
      </w:r>
      <w:r>
        <w:rPr>
          <w:rFonts w:ascii="Times New Roman" w:hAnsi="Times New Roman"/>
          <w:sz w:val="24"/>
          <w:lang w:val="ru-RU"/>
        </w:rPr>
        <w:t>3</w:t>
      </w:r>
      <w:r>
        <w:rPr>
          <w:rFonts w:ascii="Times New Roman" w:hAnsi="Times New Roman"/>
          <w:sz w:val="24"/>
        </w:rPr>
        <w:t>.</w:t>
      </w:r>
    </w:p>
    <w:sectPr>
      <w:type w:val="nextPage"/>
      <w:pgSz w:w="11906" w:h="16838"/>
      <w:pgMar w:left="994" w:right="592" w:gutter="0" w:header="0" w:top="713" w:footer="0" w:bottom="148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2">
    <w:lvl w:ilvl="0">
      <w:start w:val="4"/>
      <w:numFmt w:val="decimal"/>
      <w:lvlText w:val="%1."/>
      <w:lvlJc w:val="left"/>
      <w:pPr>
        <w:tabs>
          <w:tab w:val="num" w:pos="0"/>
        </w:tabs>
        <w:ind w:left="3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decimal"/>
      <w:lvlText w:val="%1.%2"/>
      <w:lvlJc w:val="left"/>
      <w:pPr>
        <w:tabs>
          <w:tab w:val="num" w:pos="0"/>
        </w:tabs>
        <w:ind w:left="73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3">
    <w:lvl w:ilvl="0">
      <w:start w:val="1"/>
      <w:numFmt w:val="decimal"/>
      <w:lvlText w:val="%1."/>
      <w:lvlJc w:val="left"/>
      <w:pPr>
        <w:tabs>
          <w:tab w:val="num" w:pos="0"/>
        </w:tabs>
        <w:ind w:left="2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4">
    <w:lvl w:ilvl="0">
      <w:start w:val="1"/>
      <w:numFmt w:val="decimal"/>
      <w:lvlText w:val="%1."/>
      <w:lvlJc w:val="left"/>
      <w:pPr>
        <w:tabs>
          <w:tab w:val="num" w:pos="0"/>
        </w:tabs>
        <w:ind w:left="2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5">
    <w:lvl w:ilvl="0">
      <w:start w:val="1"/>
      <w:numFmt w:val="decimal"/>
      <w:lvlText w:val="%1."/>
      <w:lvlJc w:val="left"/>
      <w:pPr>
        <w:tabs>
          <w:tab w:val="num" w:pos="0"/>
        </w:tabs>
        <w:ind w:left="2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3"/>
      <w:ind w:hanging="10" w:left="10"/>
      <w:jc w:val="left"/>
    </w:pPr>
    <w:rPr>
      <w:rFonts w:ascii="Calibri" w:hAnsi="Calibri" w:eastAsia="Calibri" w:cs="Calibri"/>
      <w:color w:val="000000"/>
      <w:kern w:val="0"/>
      <w:sz w:val="22"/>
      <w:szCs w:val="22"/>
      <w:lang w:val="en-US" w:eastAsia="en-US" w:bidi="ar-SA"/>
    </w:rPr>
  </w:style>
  <w:style w:type="paragraph" w:styleId="Heading1">
    <w:name w:val="Heading 1"/>
    <w:basedOn w:val="Normal"/>
    <w:qFormat/>
    <w:pPr>
      <w:ind w:hanging="0" w:left="144" w:right="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LibreOffice/7.6.5.2$Windows_X86_64 LibreOffice_project/38d5f62f85355c192ef5f1dd47c5c0c0c6d6598b</Application>
  <AppVersion>15.0000</AppVersion>
  <DocSecurity>4</DocSecurity>
  <Pages>11</Pages>
  <Words>2341</Words>
  <Characters>17457</Characters>
  <CharactersWithSpaces>19404</CharactersWithSpaces>
  <Paragraphs>405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2025-03-28T08:48:00Z</dcterms:created>
  <dc:creator>1;OpenTBS 1.9.12</dc:creator>
  <dc:description/>
  <dc:language>ru-RU</dc:language>
  <cp:lastModifiedBy/>
  <dcterms:modified xsi:type="dcterms:W3CDTF">2025-04-01T14:39:45Z</dcterms:modified>
  <cp:revision>4</cp:revision>
  <dc:subject/>
  <dc:title>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