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протокол №</w:t>
      </w:r>
      <w:r>
        <w:rPr>
          <w:spacing w:val="-1"/>
        </w:rPr>
        <w:t xml:space="preserve"> </w:t>
      </w:r>
      <w:r>
        <w:rPr/>
        <w:t xml:space="preserve">     от </w:t>
      </w:r>
    </w:p>
    <w:p>
      <w:pPr>
        <w:pStyle w:val="BodyText"/>
        <w:rPr/>
      </w:pPr>
      <w:r>
        <w:rPr/>
      </w:r>
    </w:p>
    <w:p>
      <w:pPr>
        <w:pStyle w:val="BodyText"/>
        <w:rPr/>
      </w:pPr>
      <w:r>
        <w:rPr/>
      </w:r>
    </w:p>
    <w:p>
      <w:pPr>
        <w:pStyle w:val="BodyText"/>
        <w:rPr/>
      </w:pPr>
      <w:r>
        <w:rPr/>
      </w:r>
    </w:p>
    <w:p>
      <w:pPr>
        <w:pStyle w:val="Heading1"/>
        <w:bidi w:val="0"/>
        <w:jc w:val="center"/>
        <w:rPr/>
      </w:pPr>
      <w:bookmarkStart w:id="0" w:name="%25252525D0%25252525A0%25252525D0%252525"/>
      <w:bookmarkEnd w:id="0"/>
      <w:r>
        <w:rPr/>
        <w:t>Рабочая программа дисциплины</w:t>
      </w:r>
    </w:p>
    <w:p>
      <w:pPr>
        <w:pStyle w:val="BodyText"/>
        <w:jc w:val="center"/>
        <w:rPr>
          <w:lang w:val="ru-RU"/>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080 w 2808360"/>
                            <a:gd name="textAreaTop" fmla="*/ 0 h 1800"/>
                            <a:gd name="textAreaBottom" fmla="*/ 25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lang w:val="ru-RU"/>
        </w:rPr>
        <w:t>Генетика</w:t>
      </w:r>
    </w:p>
    <w:p>
      <w:pPr>
        <w:pStyle w:val="BodyText"/>
        <w:jc w:val="center"/>
        <w:rPr/>
      </w:pPr>
      <w:r>
        <w:rPr/>
      </w:r>
    </w:p>
    <w:p>
      <w:pPr>
        <w:pStyle w:val="BodyText"/>
        <w:bidi w:val="0"/>
        <w:jc w:val="center"/>
        <w:rPr/>
      </w:pPr>
      <w:r>
        <w:rPr/>
        <w:t xml:space="preserve">Уровень высшего образования </w:t>
      </w:r>
    </w:p>
    <w:p>
      <w:pPr>
        <w:pStyle w:val="BodyText"/>
        <w:bidi w:val="0"/>
        <w:jc w:val="center"/>
        <w:rPr/>
      </w:pPr>
      <w:r>
        <w:rPr/>
        <w:t>Ординатура</w:t>
      </w:r>
    </w:p>
    <w:p>
      <w:pPr>
        <w:pStyle w:val="BodyText"/>
        <w:jc w:val="center"/>
        <w:rPr/>
      </w:pPr>
      <w:r>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jc w:val="center"/>
        <w:rPr/>
      </w:pPr>
      <w:r>
        <w:rPr/>
      </w:r>
    </w:p>
    <w:p>
      <w:pPr>
        <w:pStyle w:val="BodyText"/>
        <w:bidi w:val="0"/>
        <w:jc w:val="center"/>
        <w:rPr/>
      </w:pPr>
      <w:r>
        <w:rPr/>
        <w:t>Направление подготовки / специальность</w:t>
      </w:r>
    </w:p>
    <w:p>
      <w:pPr>
        <w:pStyle w:val="BodyText"/>
        <w:bidi w:val="0"/>
        <w:jc w:val="center"/>
        <w:rPr/>
      </w:pPr>
      <w:r>
        <mc:AlternateContent>
          <mc:Choice Requires="wps">
            <w:drawing>
              <wp:anchor behindDoc="1" distT="635"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t>31.08.</w:t>
      </w:r>
      <w:r>
        <w:rPr>
          <w:lang w:val="ru-RU"/>
        </w:rPr>
        <w:t>68</w:t>
      </w:r>
      <w:r>
        <w:rPr/>
        <w:t xml:space="preserve"> - </w:t>
      </w:r>
      <w:r>
        <w:rPr>
          <w:spacing w:val="-2"/>
        </w:rPr>
        <w:t>Урология</w:t>
      </w:r>
    </w:p>
    <w:p>
      <w:pPr>
        <w:pStyle w:val="BodyText"/>
        <w:jc w:val="center"/>
        <w:rPr/>
      </w:pPr>
      <w:r>
        <w:rPr/>
      </w:r>
    </w:p>
    <w:p>
      <w:pPr>
        <w:pStyle w:val="BodyText"/>
        <w:jc w:val="center"/>
        <w:rPr/>
      </w:pPr>
      <w:r>
        <w:rPr/>
        <w:t>Направленность образовательной программы</w:t>
      </w:r>
    </w:p>
    <w:p>
      <w:pPr>
        <w:pStyle w:val="BodyText"/>
        <w:jc w:val="center"/>
        <w:rPr/>
      </w:pPr>
      <w:r>
        <mc:AlternateContent>
          <mc:Choice Requires="wps">
            <w:drawing>
              <wp:anchor behindDoc="1" distT="635"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t>Терапия</w:t>
      </w:r>
    </w:p>
    <w:p>
      <w:pPr>
        <w:pStyle w:val="BodyText"/>
        <w:jc w:val="center"/>
        <w:rPr/>
      </w:pPr>
      <w:r>
        <w:rPr/>
      </w:r>
    </w:p>
    <w:p>
      <w:pPr>
        <w:pStyle w:val="BodyText"/>
        <w:jc w:val="center"/>
        <w:rPr/>
      </w:pPr>
      <w:r>
        <w:rPr/>
        <w:t>Форма обучения</w:t>
      </w:r>
    </w:p>
    <w:p>
      <w:pPr>
        <w:pStyle w:val="BodyText"/>
        <w:jc w:val="center"/>
        <w:rPr/>
      </w:pPr>
      <w:r>
        <w:rPr/>
        <w:t xml:space="preserve"> </w:t>
      </w:r>
      <w:r>
        <w:rPr/>
        <w:t>очная</w:t>
      </w:r>
    </w:p>
    <w:p>
      <w:pPr>
        <w:pStyle w:val="BodyText"/>
        <w:jc w:val="center"/>
        <w:rPr/>
      </w:pPr>
      <w:r>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pPr>
      <w:r>
        <w:rPr/>
        <w:t>г. Москва</w:t>
      </w:r>
    </w:p>
    <w:p>
      <w:pPr>
        <w:pStyle w:val="BodyText"/>
        <w:spacing w:lineRule="auto" w:line="446"/>
        <w:ind w:firstLine="372" w:left="3674" w:right="4152"/>
        <w:rPr/>
      </w:pPr>
      <w:r>
        <w:rPr/>
        <w:t xml:space="preserve">              </w:t>
      </w:r>
      <w:r>
        <w:rPr/>
        <w:t>2025</w:t>
      </w:r>
      <w:r>
        <w:rPr>
          <w:spacing w:val="-12"/>
        </w:rPr>
        <w:t xml:space="preserve"> </w:t>
      </w:r>
      <w:r>
        <w:rPr/>
        <w:t>год</w:t>
      </w:r>
    </w:p>
    <w:p>
      <w:pPr>
        <w:pStyle w:val="Normal"/>
        <w:numPr>
          <w:ilvl w:val="0"/>
          <w:numId w:val="1"/>
        </w:numPr>
        <w:rPr>
          <w:rFonts w:ascii="Times New Roman" w:hAnsi="Times New Roman" w:eastAsia="Calibri" w:cs="Calibri"/>
          <w:b/>
          <w:bCs/>
          <w:color w:val="000000"/>
          <w:kern w:val="0"/>
          <w:sz w:val="20"/>
          <w:szCs w:val="22"/>
          <w:lang w:val="en-US" w:eastAsia="en-US" w:bidi="ar-SA"/>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eastAsia="Calibri" w:cs="Calibri"/>
          <w:color w:val="000000"/>
          <w:kern w:val="0"/>
          <w:sz w:val="20"/>
          <w:szCs w:val="22"/>
          <w:lang w:val="en-US" w:eastAsia="en-US" w:bidi="ar-SA"/>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eastAsia="Calibri" w:cs="Calibri"/>
          <w:b/>
          <w:bCs/>
          <w:color w:val="000000"/>
          <w:kern w:val="0"/>
          <w:sz w:val="20"/>
          <w:szCs w:val="22"/>
          <w:lang w:val="en-US" w:eastAsia="en-US" w:bidi="ar-SA"/>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7"/>
        <w:gridCol w:w="2549"/>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ind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 Способен проводить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ОПК-4.1: Проводит клиническую диагностику и</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7"/>
        <w:gridCol w:w="2549"/>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0"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7"/>
        <w:gridCol w:w="7482"/>
      </w:tblGrid>
      <w:tr>
        <w:trPr>
          <w:trHeight w:val="63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отлично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хорошо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1"/>
        <w:gridCol w:w="1987"/>
        <w:gridCol w:w="1906"/>
        <w:gridCol w:w="1906"/>
        <w:gridCol w:w="2200"/>
      </w:tblGrid>
      <w:tr>
        <w:trPr>
          <w:trHeight w:val="1306" w:hRule="atLeast"/>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58"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7"/>
        <w:gridCol w:w="1560"/>
        <w:gridCol w:w="7233"/>
      </w:tblGrid>
      <w:tr>
        <w:trPr>
          <w:trHeight w:val="330" w:hRule="atLeast"/>
        </w:trPr>
        <w:tc>
          <w:tcPr>
            <w:tcW w:w="987"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7"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7"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7"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7"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3"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0"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0"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LibreOffice/7.6.5.2$Windows_X86_64 LibreOffice_project/38d5f62f85355c192ef5f1dd47c5c0c0c6d6598b</Application>
  <AppVersion>15.0000</AppVersion>
  <DocSecurity>4</DocSecurity>
  <Pages>11</Pages>
  <Words>2090</Words>
  <Characters>15784</Characters>
  <CharactersWithSpaces>17625</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2025-04-01T16:28:42Z</dcterms:modified>
  <cp:revision>5</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